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ind w:left="0" w:right="-113" w:firstLine="0"/>
        <w:tabs>
          <w:tab w:val="left" w:pos="7642" w:leader="none"/>
        </w:tabs>
        <w:rPr>
          <w:rFonts w:ascii="宋体" w:hAnsi="宋体" w:cs="宋体"/>
          <w:b/>
          <w:color w:val="000000" w:themeColor="text1"/>
          <w:sz w:val="52"/>
          <w:szCs w:val="52"/>
          <w:highlight w:val="none"/>
        </w:rPr>
      </w:pPr>
      <w:r>
        <w:rPr>
          <w:rFonts w:ascii="宋体" w:hAnsi="宋体" w:cs="宋体"/>
          <w:b/>
          <w:color w:val="000000" w:themeColor="text1"/>
          <w:sz w:val="52"/>
          <w:szCs w:val="52"/>
          <w:highlight w:val="none"/>
        </w:rPr>
      </w:r>
      <w:r/>
    </w:p>
    <w:p>
      <w:pPr>
        <w:pStyle w:val="1064"/>
        <w:ind w:firstLine="0"/>
        <w:tabs>
          <w:tab w:val="left" w:pos="7642" w:leader="none"/>
        </w:tabs>
        <w:rPr>
          <w:rFonts w:ascii="宋体" w:hAnsi="宋体" w:cs="宋体"/>
          <w:b/>
          <w:color w:val="000000" w:themeColor="text1"/>
          <w:sz w:val="52"/>
          <w:szCs w:val="52"/>
          <w:highlight w:val="none"/>
        </w:rPr>
      </w:pPr>
      <w:r>
        <w:rPr>
          <w:rFonts w:hint="eastAsia" w:ascii="宋体" w:hAnsi="宋体" w:cs="宋体"/>
          <w:b/>
          <w:color w:val="000000" w:themeColor="text1"/>
          <w:sz w:val="52"/>
          <w:szCs w:val="52"/>
          <w:highlight w:val="none"/>
        </w:rPr>
        <w:tab/>
      </w:r>
      <w:r/>
    </w:p>
    <w:p>
      <w:pPr>
        <w:pStyle w:val="1064"/>
        <w:ind w:firstLine="0"/>
        <w:jc w:val="center"/>
        <w:rPr>
          <w:rFonts w:ascii="宋体" w:hAnsi="宋体" w:cs="宋体"/>
          <w:b/>
          <w:color w:val="000000" w:themeColor="text1"/>
          <w:sz w:val="52"/>
          <w:szCs w:val="52"/>
          <w:highlight w:val="none"/>
        </w:rPr>
      </w:pPr>
      <w:r>
        <w:rPr>
          <w:rFonts w:ascii="宋体" w:hAnsi="宋体" w:cs="宋体"/>
          <w:b/>
          <w:color w:val="000000" w:themeColor="text1"/>
          <w:sz w:val="52"/>
          <w:szCs w:val="52"/>
          <w:highlight w:val="none"/>
        </w:rPr>
      </w:r>
      <w:r/>
    </w:p>
    <w:p>
      <w:pPr>
        <w:pStyle w:val="1064"/>
        <w:ind w:firstLine="0"/>
        <w:jc w:val="center"/>
        <w:rPr>
          <w:rFonts w:ascii="宋体" w:hAnsi="宋体" w:cs="宋体"/>
          <w:b/>
          <w:bCs/>
          <w:color w:val="000000" w:themeColor="text1"/>
          <w:sz w:val="84"/>
          <w:highlight w:val="none"/>
        </w:rPr>
      </w:pPr>
      <w:r>
        <w:rPr>
          <w:rFonts w:hint="eastAsia" w:ascii="宋体" w:hAnsi="宋体" w:cs="宋体"/>
          <w:b/>
          <w:bCs/>
          <w:color w:val="000000" w:themeColor="text1"/>
          <w:sz w:val="84"/>
          <w:highlight w:val="none"/>
        </w:rPr>
        <w:t xml:space="preserve"> 竞争性磋商文件</w:t>
      </w:r>
      <w:r/>
    </w:p>
    <w:p>
      <w:pPr>
        <w:pStyle w:val="1064"/>
        <w:ind w:firstLine="0"/>
        <w:rPr>
          <w:rFonts w:ascii="宋体" w:hAnsi="宋体" w:cs="宋体"/>
          <w:b/>
          <w:bCs/>
          <w:color w:val="000000" w:themeColor="text1"/>
          <w:sz w:val="32"/>
          <w:szCs w:val="32"/>
          <w:highlight w:val="none"/>
        </w:rPr>
      </w:pPr>
      <w:r>
        <w:rPr>
          <w:rFonts w:ascii="宋体" w:hAnsi="宋体" w:cs="宋体"/>
          <w:b/>
          <w:bCs/>
          <w:color w:val="000000" w:themeColor="text1"/>
          <w:sz w:val="32"/>
          <w:szCs w:val="32"/>
          <w:highlight w:val="none"/>
        </w:rPr>
      </w:r>
      <w:r/>
    </w:p>
    <w:p>
      <w:pPr>
        <w:pStyle w:val="1064"/>
        <w:ind w:firstLine="0"/>
        <w:rPr>
          <w:rFonts w:ascii="宋体" w:hAnsi="宋体" w:cs="宋体"/>
          <w:b/>
          <w:bCs/>
          <w:color w:val="000000" w:themeColor="text1"/>
          <w:sz w:val="32"/>
          <w:szCs w:val="32"/>
          <w:highlight w:val="none"/>
        </w:rPr>
      </w:pPr>
      <w:r>
        <w:rPr>
          <w:rFonts w:ascii="宋体" w:hAnsi="宋体" w:cs="宋体"/>
          <w:b/>
          <w:bCs/>
          <w:color w:val="000000" w:themeColor="text1"/>
          <w:sz w:val="32"/>
          <w:szCs w:val="32"/>
          <w:highlight w:val="none"/>
        </w:rPr>
      </w:r>
      <w:r/>
    </w:p>
    <w:p>
      <w:pPr>
        <w:pStyle w:val="1064"/>
        <w:ind w:firstLine="0"/>
        <w:rPr>
          <w:rFonts w:ascii="宋体" w:hAnsi="宋体" w:cs="宋体"/>
          <w:b/>
          <w:bCs/>
          <w:color w:val="000000" w:themeColor="text1"/>
          <w:sz w:val="32"/>
          <w:szCs w:val="32"/>
          <w:highlight w:val="none"/>
        </w:rPr>
      </w:pPr>
      <w:r>
        <w:rPr>
          <w:rFonts w:ascii="宋体" w:hAnsi="宋体" w:cs="宋体"/>
          <w:b/>
          <w:bCs/>
          <w:color w:val="000000" w:themeColor="text1"/>
          <w:sz w:val="32"/>
          <w:szCs w:val="32"/>
          <w:highlight w:val="none"/>
        </w:rPr>
      </w:r>
      <w:r/>
    </w:p>
    <w:p>
      <w:pPr>
        <w:pStyle w:val="1064"/>
        <w:ind w:firstLine="0"/>
        <w:jc w:val="both"/>
        <w:rPr>
          <w:rFonts w:ascii="宋体" w:hAnsi="宋体" w:cs="宋体"/>
          <w:b/>
          <w:bCs/>
          <w:color w:val="000000" w:themeColor="text1"/>
          <w:spacing w:val="-11"/>
          <w:sz w:val="32"/>
          <w:highlight w:val="none"/>
        </w:rPr>
      </w:pPr>
      <w:r>
        <w:rPr>
          <w:rFonts w:hint="eastAsia" w:ascii="宋体" w:hAnsi="宋体" w:cs="宋体"/>
          <w:b/>
          <w:bCs/>
          <w:color w:val="000000" w:themeColor="text1"/>
          <w:spacing w:val="-11"/>
          <w:sz w:val="32"/>
          <w:highlight w:val="none"/>
        </w:rPr>
        <w:t xml:space="preserve">项目名称：</w:t>
      </w:r>
      <w:bookmarkStart w:id="0" w:name="OLE_LINK3"/>
      <w:r>
        <w:rPr>
          <w:rFonts w:hint="eastAsia"/>
          <w:b/>
          <w:color w:val="000000" w:themeColor="text1"/>
          <w:spacing w:val="-11"/>
          <w:sz w:val="32"/>
          <w:szCs w:val="32"/>
          <w:highlight w:val="none"/>
        </w:rPr>
        <w:t xml:space="preserve">盐城市公安局交管支队亭湖大队文峰中队营房装修改造</w:t>
      </w:r>
      <w:bookmarkEnd w:id="0"/>
      <w:r/>
      <w:r/>
    </w:p>
    <w:p>
      <w:pPr>
        <w:pStyle w:val="1064"/>
        <w:ind w:firstLine="964"/>
        <w:jc w:val="both"/>
        <w:rPr>
          <w:rFonts w:hint="eastAsia" w:ascii="宋体" w:hAnsi="宋体" w:eastAsia="宋体" w:cs="宋体"/>
          <w:b/>
          <w:bCs/>
          <w:color w:val="000000" w:themeColor="text1"/>
          <w:sz w:val="32"/>
          <w:highlight w:val="none"/>
          <w:lang w:eastAsia="zh-CN"/>
        </w:rPr>
      </w:pPr>
      <w:r>
        <w:rPr>
          <w:rFonts w:hint="eastAsia" w:ascii="宋体" w:hAnsi="宋体" w:cs="宋体"/>
          <w:b/>
          <w:bCs/>
          <w:color w:val="000000" w:themeColor="text1"/>
          <w:sz w:val="32"/>
          <w:highlight w:val="none"/>
        </w:rPr>
        <w:t xml:space="preserve">项目编号：</w:t>
      </w:r>
      <w:r>
        <w:rPr>
          <w:rFonts w:hint="eastAsia" w:ascii="宋体" w:hAnsi="宋体" w:cs="宋体"/>
          <w:b/>
          <w:bCs/>
          <w:color w:val="000000" w:themeColor="text1"/>
          <w:sz w:val="32"/>
          <w:highlight w:val="none"/>
          <w:lang w:eastAsia="zh-CN"/>
        </w:rPr>
        <w:t xml:space="preserve">JSZC-320900-YCZH-C2025-0012</w:t>
      </w:r>
      <w:r/>
    </w:p>
    <w:p>
      <w:pPr>
        <w:pStyle w:val="1064"/>
        <w:ind w:firstLine="0"/>
        <w:jc w:val="center"/>
        <w:rPr>
          <w:rFonts w:ascii="宋体" w:hAnsi="宋体" w:cs="宋体"/>
          <w:b/>
          <w:bCs/>
          <w:color w:val="000000" w:themeColor="text1"/>
          <w:sz w:val="32"/>
          <w:highlight w:val="none"/>
        </w:rPr>
      </w:pPr>
      <w:r>
        <w:rPr>
          <w:rFonts w:ascii="宋体" w:hAnsi="宋体" w:cs="宋体"/>
          <w:b/>
          <w:bCs/>
          <w:color w:val="000000" w:themeColor="text1"/>
          <w:sz w:val="32"/>
          <w:highlight w:val="none"/>
        </w:rPr>
      </w:r>
      <w:r/>
    </w:p>
    <w:p>
      <w:pPr>
        <w:pStyle w:val="1064"/>
        <w:ind w:firstLine="0"/>
        <w:jc w:val="center"/>
        <w:rPr>
          <w:rFonts w:ascii="宋体" w:hAnsi="宋体" w:cs="宋体"/>
          <w:b/>
          <w:bCs/>
          <w:color w:val="000000" w:themeColor="text1"/>
          <w:sz w:val="32"/>
          <w:highlight w:val="none"/>
        </w:rPr>
      </w:pPr>
      <w:r>
        <w:rPr>
          <w:rFonts w:ascii="宋体" w:hAnsi="宋体" w:cs="宋体"/>
          <w:b/>
          <w:bCs/>
          <w:color w:val="000000" w:themeColor="text1"/>
          <w:sz w:val="32"/>
          <w:highlight w:val="none"/>
        </w:rPr>
      </w:r>
      <w:r/>
    </w:p>
    <w:p>
      <w:pPr>
        <w:pStyle w:val="1064"/>
        <w:ind w:firstLine="0"/>
        <w:jc w:val="center"/>
        <w:rPr>
          <w:rFonts w:ascii="宋体" w:hAnsi="宋体" w:cs="宋体"/>
          <w:b/>
          <w:bCs/>
          <w:color w:val="000000" w:themeColor="text1"/>
          <w:sz w:val="32"/>
          <w:highlight w:val="none"/>
        </w:rPr>
      </w:pPr>
      <w:r>
        <w:rPr>
          <w:rFonts w:ascii="宋体" w:hAnsi="宋体" w:cs="宋体"/>
          <w:b/>
          <w:bCs/>
          <w:color w:val="000000" w:themeColor="text1"/>
          <w:sz w:val="32"/>
          <w:highlight w:val="none"/>
        </w:rPr>
      </w:r>
      <w:r/>
    </w:p>
    <w:p>
      <w:pPr>
        <w:pStyle w:val="1064"/>
        <w:ind w:firstLine="0"/>
        <w:jc w:val="center"/>
        <w:rPr>
          <w:rFonts w:ascii="宋体" w:hAnsi="宋体" w:cs="宋体"/>
          <w:b/>
          <w:bCs/>
          <w:color w:val="000000" w:themeColor="text1"/>
          <w:sz w:val="32"/>
          <w:highlight w:val="none"/>
        </w:rPr>
      </w:pPr>
      <w:r>
        <w:rPr>
          <w:rFonts w:hint="eastAsia" w:ascii="宋体" w:hAnsi="宋体" w:cs="宋体"/>
          <w:b/>
          <w:bCs/>
          <w:color w:val="000000" w:themeColor="text1"/>
          <w:sz w:val="32"/>
          <w:highlight w:val="none"/>
        </w:rPr>
        <w:t xml:space="preserve">盐城市公安局</w:t>
      </w:r>
      <w:r/>
    </w:p>
    <w:p>
      <w:pPr>
        <w:pStyle w:val="1064"/>
        <w:ind w:firstLine="0"/>
        <w:jc w:val="center"/>
        <w:rPr>
          <w:rFonts w:ascii="宋体" w:hAnsi="宋体" w:cs="宋体"/>
          <w:b/>
          <w:bCs/>
          <w:color w:val="000000" w:themeColor="text1"/>
          <w:sz w:val="32"/>
          <w:highlight w:val="none"/>
        </w:rPr>
      </w:pPr>
      <w:r>
        <w:rPr>
          <w:rFonts w:hint="eastAsia" w:ascii="宋体" w:hAnsi="宋体" w:cs="宋体"/>
          <w:b/>
          <w:color w:val="000000" w:themeColor="text1"/>
          <w:sz w:val="32"/>
          <w:szCs w:val="32"/>
          <w:highlight w:val="none"/>
        </w:rPr>
        <w:t xml:space="preserve">盐城市智禾项目管理有限公司</w:t>
      </w:r>
      <w:r/>
    </w:p>
    <w:p>
      <w:pPr>
        <w:pStyle w:val="1064"/>
        <w:ind w:firstLine="0"/>
        <w:jc w:val="center"/>
        <w:rPr>
          <w:rFonts w:ascii="宋体" w:hAnsi="宋体" w:cs="宋体"/>
          <w:b/>
          <w:bCs/>
          <w:color w:val="000000" w:themeColor="text1"/>
          <w:sz w:val="32"/>
          <w:highlight w:val="none"/>
        </w:rPr>
      </w:pPr>
      <w:r>
        <w:rPr>
          <w:rFonts w:hint="eastAsia" w:ascii="宋体" w:hAnsi="宋体" w:cs="宋体"/>
          <w:b/>
          <w:bCs/>
          <w:color w:val="000000" w:themeColor="text1"/>
          <w:sz w:val="32"/>
          <w:highlight w:val="none"/>
        </w:rPr>
        <w:t xml:space="preserve">2025年12月</w:t>
      </w:r>
      <w:r>
        <w:rPr>
          <w:b/>
          <w:bCs/>
          <w:color w:val="000000" w:themeColor="text1"/>
          <w:sz w:val="44"/>
          <w:szCs w:val="44"/>
          <w:highlight w:val="none"/>
        </w:rPr>
        <w:br w:type="page" w:clear="all"/>
      </w:r>
      <w:r>
        <w:rPr>
          <w:rFonts w:ascii="宋体" w:hAnsi="宋体" w:cs="宋体"/>
          <w:b/>
          <w:bCs/>
          <w:color w:val="000000" w:themeColor="text1"/>
          <w:sz w:val="32"/>
          <w:highlight w:val="none"/>
        </w:rPr>
      </w:r>
      <w:r/>
    </w:p>
    <w:p>
      <w:pPr>
        <w:pStyle w:val="1022"/>
        <w:jc w:val="center"/>
        <w:rPr>
          <w:b/>
          <w:bCs/>
          <w:color w:val="000000" w:themeColor="text1"/>
          <w:sz w:val="44"/>
          <w:szCs w:val="44"/>
          <w:highlight w:val="none"/>
        </w:rPr>
      </w:pPr>
      <w:r>
        <w:rPr>
          <w:b/>
          <w:bCs/>
          <w:color w:val="000000" w:themeColor="text1"/>
          <w:sz w:val="44"/>
          <w:szCs w:val="44"/>
          <w:highlight w:val="none"/>
          <w:lang w:val="zh-CN"/>
        </w:rPr>
        <w:t xml:space="preserve">目录</w:t>
      </w:r>
      <w:r/>
    </w:p>
    <w:p>
      <w:pPr>
        <w:pStyle w:val="791"/>
        <w:tabs>
          <w:tab w:val="right" w:pos="8958" w:leader="dot"/>
        </w:tabs>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TOC \o "1-3" \u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第一章 竞争性磋商采购公告</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_Toc2013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1</w:t>
      </w:r>
      <w:r>
        <w:rPr>
          <w:rFonts w:hint="eastAsia" w:ascii="宋体" w:hAnsi="宋体" w:cs="宋体"/>
          <w:color w:val="000000" w:themeColor="text1"/>
          <w:sz w:val="28"/>
          <w:szCs w:val="28"/>
          <w:highlight w:val="none"/>
        </w:rPr>
        <w:fldChar w:fldCharType="end"/>
      </w:r>
      <w:r/>
    </w:p>
    <w:p>
      <w:pPr>
        <w:pStyle w:val="791"/>
        <w:tabs>
          <w:tab w:val="right" w:pos="8958" w:leader="dot"/>
        </w:tabs>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第二章 磋商须知</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_Toc29679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5</w:t>
      </w:r>
      <w:r>
        <w:rPr>
          <w:rFonts w:hint="eastAsia" w:ascii="宋体" w:hAnsi="宋体" w:cs="宋体"/>
          <w:color w:val="000000" w:themeColor="text1"/>
          <w:sz w:val="28"/>
          <w:szCs w:val="28"/>
          <w:highlight w:val="none"/>
        </w:rPr>
        <w:fldChar w:fldCharType="end"/>
      </w:r>
      <w:r/>
    </w:p>
    <w:p>
      <w:pPr>
        <w:pStyle w:val="791"/>
        <w:tabs>
          <w:tab w:val="right" w:pos="8958" w:leader="dot"/>
        </w:tabs>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第三章 合同条款及格式</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_Toc12588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18</w:t>
      </w:r>
      <w:r>
        <w:rPr>
          <w:rFonts w:hint="eastAsia" w:ascii="宋体" w:hAnsi="宋体" w:cs="宋体"/>
          <w:color w:val="000000" w:themeColor="text1"/>
          <w:sz w:val="28"/>
          <w:szCs w:val="28"/>
          <w:highlight w:val="none"/>
        </w:rPr>
        <w:fldChar w:fldCharType="end"/>
      </w:r>
      <w:r/>
    </w:p>
    <w:p>
      <w:pPr>
        <w:pStyle w:val="791"/>
        <w:tabs>
          <w:tab w:val="right" w:pos="8958" w:leader="dot"/>
        </w:tabs>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第四章 项目需求</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_Toc30634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4</w:t>
      </w:r>
      <w:r>
        <w:rPr>
          <w:rFonts w:hint="eastAsia" w:ascii="宋体" w:hAnsi="宋体" w:cs="宋体"/>
          <w:color w:val="000000" w:themeColor="text1"/>
          <w:sz w:val="28"/>
          <w:szCs w:val="28"/>
          <w:highlight w:val="none"/>
          <w:lang w:val="en-US" w:eastAsia="zh-CN"/>
        </w:rPr>
        <w:t xml:space="preserve">4</w:t>
      </w:r>
      <w:r>
        <w:rPr>
          <w:rFonts w:hint="eastAsia" w:ascii="宋体" w:hAnsi="宋体" w:cs="宋体"/>
          <w:color w:val="000000" w:themeColor="text1"/>
          <w:sz w:val="28"/>
          <w:szCs w:val="28"/>
          <w:highlight w:val="none"/>
        </w:rPr>
        <w:fldChar w:fldCharType="end"/>
      </w:r>
      <w:r/>
    </w:p>
    <w:p>
      <w:pPr>
        <w:pStyle w:val="791"/>
        <w:tabs>
          <w:tab w:val="right" w:pos="8958" w:leader="dot"/>
        </w:tabs>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第五章 定标原则和评审标准</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_Toc24041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9</w:t>
      </w:r>
      <w:r>
        <w:rPr>
          <w:rFonts w:hint="eastAsia" w:ascii="宋体" w:hAnsi="宋体" w:cs="宋体"/>
          <w:color w:val="000000" w:themeColor="text1"/>
          <w:sz w:val="28"/>
          <w:szCs w:val="28"/>
          <w:highlight w:val="none"/>
          <w:lang w:val="en-US" w:eastAsia="zh-CN"/>
        </w:rPr>
        <w:t xml:space="preserve">7</w:t>
      </w:r>
      <w:r>
        <w:rPr>
          <w:rFonts w:hint="eastAsia" w:ascii="宋体" w:hAnsi="宋体" w:cs="宋体"/>
          <w:color w:val="000000" w:themeColor="text1"/>
          <w:sz w:val="28"/>
          <w:szCs w:val="28"/>
          <w:highlight w:val="none"/>
        </w:rPr>
        <w:fldChar w:fldCharType="end"/>
      </w:r>
      <w:r/>
    </w:p>
    <w:p>
      <w:pPr>
        <w:pStyle w:val="791"/>
        <w:tabs>
          <w:tab w:val="right" w:pos="8958" w:leader="dot"/>
        </w:tabs>
        <w:rPr>
          <w:rFonts w:hint="default" w:ascii="宋体" w:hAnsi="宋体" w:eastAsia="宋体" w:cs="宋体"/>
          <w:color w:val="000000" w:themeColor="text1"/>
          <w:sz w:val="28"/>
          <w:szCs w:val="28"/>
          <w:highlight w:val="none"/>
          <w:lang w:val="en-US" w:eastAsia="zh-CN"/>
        </w:rPr>
      </w:pPr>
      <w:r>
        <w:rPr>
          <w:rFonts w:hint="eastAsia" w:ascii="宋体" w:hAnsi="宋体" w:cs="宋体"/>
          <w:color w:val="000000" w:themeColor="text1"/>
          <w:sz w:val="28"/>
          <w:szCs w:val="28"/>
          <w:highlight w:val="none"/>
        </w:rPr>
        <w:t xml:space="preserve">第六章 竞争性磋商响应文件格式</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lang w:val="en-US" w:eastAsia="zh-CN"/>
        </w:rPr>
        <w:t xml:space="preserve">101</w:t>
      </w:r>
      <w:r/>
    </w:p>
    <w:p>
      <w:pPr>
        <w:rPr>
          <w:b/>
          <w:bCs/>
          <w:color w:val="000000" w:themeColor="text1"/>
          <w:highlight w:val="none"/>
        </w:rPr>
        <w:sectPr>
          <w:footerReference w:type="default" r:id="rId10"/>
          <w:footerReference w:type="first" r:id="rId11"/>
          <w:footnotePr/>
          <w:endnotePr/>
          <w:type w:val="nextPage"/>
          <w:pgSz w:w="11906" w:h="16838" w:orient="portrait"/>
          <w:pgMar w:top="1474" w:right="1219" w:bottom="1474" w:left="1474" w:header="851" w:footer="907" w:gutter="0"/>
          <w:pgNumType w:start="1"/>
          <w:cols w:num="1" w:sep="0" w:space="720" w:equalWidth="1"/>
          <w:docGrid w:linePitch="360"/>
          <w:titlePg/>
        </w:sectPr>
      </w:pPr>
      <w:r>
        <w:rPr>
          <w:rFonts w:hint="eastAsia" w:ascii="宋体" w:hAnsi="宋体" w:cs="宋体"/>
          <w:color w:val="000000" w:themeColor="text1"/>
          <w:sz w:val="28"/>
          <w:szCs w:val="28"/>
          <w:highlight w:val="none"/>
        </w:rPr>
        <w:fldChar w:fldCharType="end"/>
      </w:r>
      <w:r/>
    </w:p>
    <w:p>
      <w:pPr>
        <w:rPr>
          <w:color w:val="000000" w:themeColor="text1"/>
          <w:highlight w:val="none"/>
        </w:rPr>
      </w:pPr>
      <w:r>
        <w:rPr>
          <w:color w:val="000000" w:themeColor="text1"/>
          <w:highlight w:val="none"/>
        </w:rPr>
      </w:r>
      <w:r/>
    </w:p>
    <w:p>
      <w:pPr>
        <w:pStyle w:val="805"/>
        <w:rPr>
          <w:color w:val="000000" w:themeColor="text1"/>
          <w:sz w:val="36"/>
          <w:szCs w:val="36"/>
          <w:highlight w:val="none"/>
        </w:rPr>
      </w:pPr>
      <w:r/>
      <w:bookmarkStart w:id="1" w:name="_Toc212826087"/>
      <w:r/>
      <w:bookmarkStart w:id="2" w:name="_Toc2013"/>
      <w:r>
        <w:rPr>
          <w:rFonts w:hint="eastAsia"/>
          <w:color w:val="000000" w:themeColor="text1"/>
          <w:sz w:val="36"/>
          <w:szCs w:val="36"/>
          <w:highlight w:val="none"/>
        </w:rPr>
        <w:t xml:space="preserve">第一章 竞争性磋商采购公告</w:t>
      </w:r>
      <w:bookmarkEnd w:id="1"/>
      <w:r/>
      <w:bookmarkEnd w:id="2"/>
      <w:r/>
      <w:r/>
    </w:p>
    <w:p>
      <w:pPr>
        <w:rPr>
          <w:rFonts w:ascii="宋体" w:hAnsi="宋体" w:cs="宋体"/>
          <w:color w:val="000000" w:themeColor="text1"/>
          <w:highlight w:val="none"/>
        </w:rPr>
      </w:pPr>
      <w:r/>
      <w:bookmarkStart w:id="3" w:name="_Toc14577347"/>
      <w:r/>
      <w:bookmarkStart w:id="4" w:name="_Toc513029209"/>
      <w:r/>
      <w:bookmarkStart w:id="5" w:name="_Toc61149549"/>
      <w:r/>
      <w:r/>
    </w:p>
    <w:p>
      <w:pPr>
        <w:ind w:firstLine="480"/>
        <w:spacing w:line="500" w:lineRule="exact"/>
        <w:rPr>
          <w:rFonts w:ascii="宋体" w:hAnsi="宋体" w:cs="宋体"/>
          <w:color w:val="000000" w:themeColor="text1"/>
          <w:sz w:val="24"/>
          <w:highlight w:val="none"/>
        </w:rPr>
        <w:pBdr>
          <w:top w:val="single" w:color="000000" w:sz="4" w:space="1"/>
          <w:left w:val="single" w:color="000000" w:sz="4" w:space="4"/>
          <w:bottom w:val="single" w:color="000000" w:sz="4" w:space="1"/>
          <w:right w:val="single" w:color="000000" w:sz="4" w:space="0"/>
        </w:pBdr>
      </w:pPr>
      <w:r>
        <w:rPr>
          <w:rFonts w:hint="eastAsia" w:ascii="宋体" w:hAnsi="宋体" w:cs="宋体"/>
          <w:color w:val="000000" w:themeColor="text1"/>
          <w:sz w:val="24"/>
          <w:highlight w:val="none"/>
        </w:rPr>
        <w:t xml:space="preserve">项目概况</w:t>
      </w:r>
      <w:r/>
    </w:p>
    <w:p>
      <w:pPr>
        <w:ind w:firstLine="480"/>
        <w:jc w:val="left"/>
        <w:spacing w:line="500" w:lineRule="exact"/>
        <w:rPr>
          <w:rFonts w:ascii="宋体" w:hAnsi="宋体" w:cs="宋体"/>
          <w:color w:val="000000" w:themeColor="text1"/>
          <w:sz w:val="24"/>
          <w:highlight w:val="none"/>
        </w:rPr>
        <w:pBdr>
          <w:top w:val="single" w:color="000000" w:sz="4" w:space="1"/>
          <w:left w:val="single" w:color="000000" w:sz="4" w:space="4"/>
          <w:bottom w:val="single" w:color="000000" w:sz="4" w:space="1"/>
          <w:right w:val="single" w:color="000000" w:sz="4" w:space="0"/>
        </w:pBdr>
      </w:pPr>
      <w:r>
        <w:rPr>
          <w:rFonts w:hint="eastAsia" w:ascii="宋体" w:hAnsi="宋体"/>
          <w:color w:val="000000" w:themeColor="text1"/>
          <w:sz w:val="24"/>
          <w:highlight w:val="none"/>
        </w:rPr>
        <w:t xml:space="preserve">盐城市公安局交管支队亭湖大队文峰中队营房装修改造</w:t>
      </w:r>
      <w:r>
        <w:rPr>
          <w:rFonts w:hint="eastAsia" w:ascii="宋体" w:hAnsi="宋体"/>
          <w:color w:val="000000" w:themeColor="text1"/>
          <w:sz w:val="24"/>
          <w:highlight w:val="none"/>
          <w:lang w:eastAsia="zh-CN"/>
        </w:rPr>
        <w:t xml:space="preserve">JSZC-320900-YCZH-C2025-0012</w:t>
      </w:r>
      <w:r>
        <w:rPr>
          <w:rFonts w:hint="eastAsia" w:ascii="宋体" w:hAnsi="宋体"/>
          <w:color w:val="000000" w:themeColor="text1"/>
          <w:sz w:val="24"/>
          <w:highlight w:val="none"/>
        </w:rPr>
        <w:t xml:space="preserve"> 采购项目的潜在供应商应在“苏采云”系统内免费下载（供应商必须在苏采云系统中获取</w:t>
      </w:r>
      <w:r>
        <w:rPr>
          <w:rFonts w:hint="eastAsia" w:ascii="宋体" w:hAnsi="宋体"/>
          <w:color w:val="000000" w:themeColor="text1"/>
          <w:sz w:val="24"/>
          <w:highlight w:val="none"/>
          <w:lang w:eastAsia="zh-CN"/>
        </w:rPr>
        <w:t xml:space="preserve">磋商文件</w:t>
      </w:r>
      <w:r>
        <w:rPr>
          <w:rFonts w:hint="eastAsia" w:ascii="宋体" w:hAnsi="宋体"/>
          <w:color w:val="000000" w:themeColor="text1"/>
          <w:sz w:val="24"/>
          <w:highlight w:val="none"/>
        </w:rPr>
        <w:t xml:space="preserve">，方能参与政府采购项目）获取</w:t>
      </w:r>
      <w:r>
        <w:rPr>
          <w:rFonts w:hint="eastAsia" w:ascii="宋体" w:hAnsi="宋体"/>
          <w:color w:val="000000" w:themeColor="text1"/>
          <w:sz w:val="24"/>
          <w:highlight w:val="none"/>
          <w:lang w:eastAsia="zh-CN"/>
        </w:rPr>
        <w:t xml:space="preserve">磋商文件</w:t>
      </w:r>
      <w:r>
        <w:rPr>
          <w:rFonts w:hint="eastAsia" w:ascii="宋体" w:hAnsi="宋体"/>
          <w:color w:val="000000" w:themeColor="text1"/>
          <w:sz w:val="24"/>
          <w:highlight w:val="none"/>
        </w:rPr>
        <w:t xml:space="preserve">，并于</w:t>
      </w:r>
      <w:r>
        <w:rPr>
          <w:rFonts w:hint="eastAsia" w:ascii="宋体" w:hAnsi="宋体"/>
          <w:color w:val="000000" w:themeColor="text1"/>
          <w:sz w:val="24"/>
          <w:highlight w:val="none"/>
          <w:lang w:val="en-US" w:eastAsia="zh-CN"/>
        </w:rPr>
        <w:t xml:space="preserve">2026</w:t>
      </w:r>
      <w:r>
        <w:rPr>
          <w:rFonts w:hint="eastAsia" w:ascii="宋体" w:hAnsi="宋体"/>
          <w:color w:val="000000" w:themeColor="text1"/>
          <w:sz w:val="24"/>
          <w:highlight w:val="none"/>
        </w:rPr>
        <w:t xml:space="preserve">年</w:t>
      </w:r>
      <w:r>
        <w:rPr>
          <w:rFonts w:hint="eastAsia" w:ascii="宋体" w:hAnsi="宋体"/>
          <w:color w:val="000000" w:themeColor="text1"/>
          <w:sz w:val="24"/>
          <w:highlight w:val="none"/>
          <w:lang w:val="en-US" w:eastAsia="zh-CN"/>
        </w:rPr>
        <w:t xml:space="preserve">01</w:t>
      </w:r>
      <w:r>
        <w:rPr>
          <w:rFonts w:hint="eastAsia" w:ascii="宋体" w:hAnsi="宋体"/>
          <w:color w:val="000000" w:themeColor="text1"/>
          <w:sz w:val="24"/>
          <w:highlight w:val="none"/>
        </w:rPr>
        <w:t xml:space="preserve">月</w:t>
      </w:r>
      <w:r>
        <w:rPr>
          <w:rFonts w:hint="eastAsia" w:ascii="宋体" w:hAnsi="宋体"/>
          <w:color w:val="000000" w:themeColor="text1"/>
          <w:sz w:val="24"/>
          <w:highlight w:val="none"/>
          <w:lang w:val="en-US" w:eastAsia="zh-CN"/>
        </w:rPr>
        <w:t xml:space="preserve">13</w:t>
      </w:r>
      <w:r>
        <w:rPr>
          <w:rFonts w:hint="eastAsia" w:ascii="宋体" w:hAnsi="宋体"/>
          <w:color w:val="000000" w:themeColor="text1"/>
          <w:sz w:val="24"/>
          <w:highlight w:val="none"/>
        </w:rPr>
        <w:t xml:space="preserve">日</w:t>
      </w:r>
      <w:r>
        <w:rPr>
          <w:rFonts w:hint="eastAsia" w:ascii="宋体" w:hAnsi="宋体"/>
          <w:color w:val="000000" w:themeColor="text1"/>
          <w:sz w:val="24"/>
          <w:highlight w:val="none"/>
          <w:lang w:val="en-US" w:eastAsia="zh-CN"/>
        </w:rPr>
        <w:t xml:space="preserve">15</w:t>
      </w:r>
      <w:r>
        <w:rPr>
          <w:rFonts w:hint="eastAsia" w:ascii="宋体" w:hAnsi="宋体"/>
          <w:color w:val="000000" w:themeColor="text1"/>
          <w:sz w:val="24"/>
          <w:highlight w:val="none"/>
        </w:rPr>
        <w:t xml:space="preserve">点</w:t>
      </w:r>
      <w:r>
        <w:rPr>
          <w:rFonts w:hint="eastAsia" w:ascii="宋体" w:hAnsi="宋体"/>
          <w:color w:val="000000" w:themeColor="text1"/>
          <w:sz w:val="24"/>
          <w:highlight w:val="none"/>
          <w:lang w:val="en-US" w:eastAsia="zh-CN"/>
        </w:rPr>
        <w:t xml:space="preserve">00</w:t>
      </w:r>
      <w:r>
        <w:rPr>
          <w:rFonts w:hint="eastAsia" w:ascii="宋体" w:hAnsi="宋体"/>
          <w:color w:val="000000" w:themeColor="text1"/>
          <w:sz w:val="24"/>
          <w:highlight w:val="none"/>
        </w:rPr>
        <w:t xml:space="preserve">分（北京时间）前递交投标文件。</w:t>
      </w:r>
      <w:r/>
    </w:p>
    <w:p>
      <w:pPr>
        <w:pStyle w:val="759"/>
        <w:jc w:val="both"/>
        <w:spacing w:before="0" w:after="0" w:line="520" w:lineRule="exact"/>
        <w:rPr>
          <w:rFonts w:ascii="宋体" w:hAnsi="宋体" w:eastAsia="宋体" w:cs="宋体"/>
          <w:bCs/>
          <w:color w:val="000000" w:themeColor="text1"/>
          <w:sz w:val="24"/>
          <w:szCs w:val="24"/>
          <w:highlight w:val="none"/>
        </w:rPr>
      </w:pPr>
      <w:r/>
      <w:bookmarkStart w:id="6" w:name="_Toc35393798"/>
      <w:r/>
      <w:bookmarkStart w:id="7" w:name="_Toc203032684"/>
      <w:r/>
      <w:bookmarkStart w:id="8" w:name="_Toc28359089"/>
      <w:r/>
      <w:bookmarkStart w:id="9" w:name="_Toc7296"/>
      <w:r/>
      <w:bookmarkStart w:id="10" w:name="_Toc212826088"/>
      <w:r/>
      <w:bookmarkStart w:id="11" w:name="_Toc166856186"/>
      <w:r/>
      <w:bookmarkStart w:id="12" w:name="_Toc28359012"/>
      <w:r/>
      <w:bookmarkStart w:id="13" w:name="_Toc35393629"/>
      <w:r>
        <w:rPr>
          <w:rFonts w:hint="eastAsia" w:ascii="宋体" w:hAnsi="宋体" w:eastAsia="宋体" w:cs="宋体"/>
          <w:bCs/>
          <w:color w:val="000000" w:themeColor="text1"/>
          <w:sz w:val="24"/>
          <w:szCs w:val="24"/>
          <w:highlight w:val="none"/>
        </w:rPr>
        <w:t xml:space="preserve">一、项目基本情况</w:t>
      </w:r>
      <w:bookmarkEnd w:id="6"/>
      <w:r/>
      <w:bookmarkEnd w:id="7"/>
      <w:r/>
      <w:bookmarkEnd w:id="8"/>
      <w:r/>
      <w:bookmarkEnd w:id="9"/>
      <w:r/>
      <w:bookmarkEnd w:id="10"/>
      <w:r/>
      <w:bookmarkEnd w:id="11"/>
      <w:r/>
      <w:bookmarkEnd w:id="12"/>
      <w:r/>
      <w:bookmarkEnd w:id="13"/>
      <w:r/>
      <w:r/>
    </w:p>
    <w:p>
      <w:pPr>
        <w:ind w:firstLine="480"/>
        <w:spacing w:line="520" w:lineRule="exact"/>
        <w:rPr>
          <w:rFonts w:hint="eastAsia" w:ascii="宋体" w:hAnsi="宋体" w:eastAsia="宋体" w:cs="宋体"/>
          <w:color w:val="000000" w:themeColor="text1"/>
          <w:sz w:val="24"/>
          <w:highlight w:val="none"/>
          <w:lang w:eastAsia="zh-CN"/>
        </w:rPr>
      </w:pPr>
      <w:r/>
      <w:bookmarkStart w:id="14" w:name="_Toc28359013"/>
      <w:r/>
      <w:bookmarkStart w:id="15" w:name="_Toc35393799"/>
      <w:r/>
      <w:bookmarkStart w:id="16" w:name="_Toc35393630"/>
      <w:r/>
      <w:bookmarkStart w:id="17" w:name="_Toc28359090"/>
      <w:r/>
      <w:bookmarkStart w:id="18" w:name="_Toc166856187"/>
      <w:r>
        <w:rPr>
          <w:rFonts w:hint="eastAsia" w:ascii="宋体" w:hAnsi="宋体" w:cs="宋体"/>
          <w:color w:val="000000" w:themeColor="text1"/>
          <w:sz w:val="24"/>
          <w:highlight w:val="none"/>
        </w:rPr>
        <w:t xml:space="preserve">1.项目编号：</w:t>
      </w:r>
      <w:r>
        <w:rPr>
          <w:rFonts w:hint="eastAsia" w:ascii="宋体" w:hAnsi="宋体" w:cs="宋体"/>
          <w:color w:val="000000" w:themeColor="text1"/>
          <w:sz w:val="24"/>
          <w:highlight w:val="none"/>
          <w:lang w:eastAsia="zh-CN"/>
        </w:rPr>
        <w:t xml:space="preserve">JSZC-320900-YCZH-C2025-0012</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2.项目名称：盐城市公安局交管支队亭湖大队文峰中队营房装修改造</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3.采购方式：竞争性磋商</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4.预算金额：137.82万元</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5.最高限价：137.82万元</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6.采购需求：详见附件本</w:t>
      </w:r>
      <w:r>
        <w:rPr>
          <w:rFonts w:hint="eastAsia" w:ascii="宋体" w:hAnsi="宋体" w:cs="宋体"/>
          <w:color w:val="000000" w:themeColor="text1"/>
          <w:sz w:val="24"/>
          <w:highlight w:val="none"/>
          <w:lang w:eastAsia="zh-CN"/>
        </w:rPr>
        <w:t xml:space="preserve">磋商</w:t>
      </w:r>
      <w:r>
        <w:rPr>
          <w:rFonts w:hint="eastAsia" w:ascii="宋体" w:hAnsi="宋体" w:cs="宋体"/>
          <w:color w:val="000000" w:themeColor="text1"/>
          <w:sz w:val="24"/>
          <w:highlight w:val="none"/>
        </w:rPr>
        <w:t xml:space="preserve">文件</w:t>
      </w:r>
      <w:r/>
    </w:p>
    <w:p>
      <w:pPr>
        <w:ind w:firstLine="480"/>
        <w:spacing w:line="520" w:lineRule="exact"/>
        <w:rPr>
          <w:rFonts w:ascii="宋体" w:hAnsi="宋体" w:cs="宋体"/>
          <w:color w:val="000000" w:themeColor="text1"/>
          <w:highlight w:val="none"/>
        </w:rPr>
      </w:pPr>
      <w:r>
        <w:rPr>
          <w:rFonts w:hint="eastAsia" w:ascii="宋体" w:hAnsi="宋体" w:cs="宋体"/>
          <w:color w:val="000000" w:themeColor="text1"/>
          <w:sz w:val="24"/>
          <w:highlight w:val="none"/>
        </w:rPr>
        <w:t xml:space="preserve">7.合同履行期限：同免费质保期</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8.本项目</w:t>
      </w:r>
      <w:r>
        <w:rPr>
          <w:rFonts w:hint="eastAsia" w:ascii="宋体" w:hAnsi="宋体" w:cs="宋体"/>
          <w:color w:val="000000" w:themeColor="text1"/>
          <w:sz w:val="24"/>
          <w:highlight w:val="none"/>
          <w:u w:val="single"/>
        </w:rPr>
        <w:t xml:space="preserve">不接受</w:t>
      </w:r>
      <w:r>
        <w:rPr>
          <w:rFonts w:hint="eastAsia" w:ascii="宋体" w:hAnsi="宋体" w:cs="宋体"/>
          <w:color w:val="000000" w:themeColor="text1"/>
          <w:sz w:val="24"/>
          <w:highlight w:val="none"/>
        </w:rPr>
        <w:t xml:space="preserve">联合体投标。</w:t>
      </w:r>
      <w:r/>
    </w:p>
    <w:p>
      <w:pPr>
        <w:pStyle w:val="759"/>
        <w:jc w:val="both"/>
        <w:spacing w:before="0" w:after="0" w:line="520" w:lineRule="exact"/>
        <w:rPr>
          <w:rFonts w:ascii="宋体" w:hAnsi="宋体" w:eastAsia="宋体" w:cs="宋体"/>
          <w:bCs/>
          <w:color w:val="000000" w:themeColor="text1"/>
          <w:sz w:val="24"/>
          <w:szCs w:val="24"/>
          <w:highlight w:val="none"/>
        </w:rPr>
      </w:pPr>
      <w:r/>
      <w:bookmarkStart w:id="19" w:name="_Toc212826089"/>
      <w:r/>
      <w:bookmarkStart w:id="20" w:name="_Toc203032685"/>
      <w:r/>
      <w:bookmarkStart w:id="21" w:name="_Toc21318"/>
      <w:r>
        <w:rPr>
          <w:rFonts w:hint="eastAsia" w:ascii="宋体" w:hAnsi="宋体" w:eastAsia="宋体" w:cs="宋体"/>
          <w:bCs/>
          <w:color w:val="000000" w:themeColor="text1"/>
          <w:sz w:val="24"/>
          <w:szCs w:val="24"/>
          <w:highlight w:val="none"/>
        </w:rPr>
        <w:t xml:space="preserve">二、申请人的资格要求：</w:t>
      </w:r>
      <w:bookmarkEnd w:id="14"/>
      <w:r/>
      <w:bookmarkEnd w:id="15"/>
      <w:r/>
      <w:bookmarkEnd w:id="16"/>
      <w:r/>
      <w:bookmarkEnd w:id="17"/>
      <w:r/>
      <w:bookmarkEnd w:id="18"/>
      <w:r/>
      <w:bookmarkEnd w:id="19"/>
      <w:r/>
      <w:bookmarkEnd w:id="20"/>
      <w:r/>
      <w:bookmarkEnd w:id="21"/>
      <w:r/>
      <w:r/>
    </w:p>
    <w:p>
      <w:pPr>
        <w:ind w:firstLine="480"/>
        <w:spacing w:line="520" w:lineRule="exact"/>
        <w:rPr>
          <w:rFonts w:ascii="宋体" w:hAnsi="宋体" w:cs="宋体"/>
          <w:color w:val="000000" w:themeColor="text1"/>
          <w:sz w:val="24"/>
          <w:highlight w:val="none"/>
        </w:rPr>
      </w:pPr>
      <w:r/>
      <w:bookmarkStart w:id="22" w:name="_Toc28359014"/>
      <w:r/>
      <w:bookmarkStart w:id="23" w:name="_Toc35393631"/>
      <w:r/>
      <w:bookmarkStart w:id="24" w:name="_Toc35393800"/>
      <w:r/>
      <w:bookmarkStart w:id="25" w:name="_Toc28359091"/>
      <w:r/>
      <w:bookmarkStart w:id="26" w:name="_Toc166856188"/>
      <w:r>
        <w:rPr>
          <w:rFonts w:hint="eastAsia" w:ascii="宋体" w:hAnsi="宋体" w:cs="宋体"/>
          <w:color w:val="000000" w:themeColor="text1"/>
          <w:sz w:val="24"/>
          <w:highlight w:val="none"/>
        </w:rPr>
        <w:t xml:space="preserve">（一）满足《中华人民共和国政府采购法》第二十二条规定：</w:t>
      </w:r>
      <w:r/>
    </w:p>
    <w:p>
      <w:pPr>
        <w:ind w:firstLine="480"/>
        <w:jc w:val="left"/>
        <w:spacing w:line="48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1.法人或者其他组织的营业执照等证明文件，自然人的身份证明。</w:t>
      </w:r>
      <w:r/>
    </w:p>
    <w:p>
      <w:pPr>
        <w:ind w:firstLine="480"/>
        <w:jc w:val="left"/>
        <w:spacing w:line="48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2.上一年度的财务状况报表（至少提供资产负债表、利润表、现金流量表，成立不满一年不需提供）。</w:t>
      </w:r>
      <w:r/>
    </w:p>
    <w:p>
      <w:pPr>
        <w:ind w:firstLine="480"/>
        <w:jc w:val="left"/>
        <w:spacing w:line="48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3.依法缴纳税收和社会保障资金的相关材料（依法享受缓缴、免缴税收、社会保障金的提供证明材料）。</w:t>
      </w:r>
      <w:r/>
    </w:p>
    <w:p>
      <w:pPr>
        <w:ind w:firstLine="480"/>
        <w:jc w:val="left"/>
        <w:spacing w:line="48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4.具备履行合同所必需的设备和专业技术能力的书面声明。</w:t>
      </w:r>
      <w:r/>
    </w:p>
    <w:p>
      <w:pPr>
        <w:ind w:firstLine="480"/>
        <w:jc w:val="left"/>
        <w:spacing w:line="48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5.参加政府采购活动前3年内在经营活动中没有重大违法记录的书面声明。</w:t>
      </w:r>
      <w:r/>
    </w:p>
    <w:p>
      <w:pPr>
        <w:ind w:firstLine="480"/>
        <w:jc w:val="left"/>
        <w:spacing w:line="48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6.法律、行政法规规定的其他条件。</w:t>
      </w:r>
      <w:r/>
    </w:p>
    <w:p>
      <w:pPr>
        <w:ind w:firstLine="480"/>
        <w:jc w:val="left"/>
        <w:spacing w:line="48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7.未被“信用中国”网站（www.creditchina.gov.cn）列入失信被执行人、重大税收违法案件当事人名单、政府采购严重失信行为记录名单（响应文件中无需提供证明材料）。</w:t>
      </w:r>
      <w:r/>
    </w:p>
    <w:p>
      <w:pPr>
        <w:ind w:firstLine="480"/>
        <w:jc w:val="left"/>
        <w:spacing w:line="48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8.单位负责人为同一人或者存在直接控股、管理关系的不同供应商，不得参加同一合同项下的政府采购活动。</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（二）落实政府采购政策需满足的资格要求：</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本项目专门面向中小企业采购。采购标的的所属行业为</w:t>
      </w:r>
      <w:r>
        <w:rPr>
          <w:rFonts w:hint="eastAsia" w:ascii="宋体" w:hAnsi="宋体" w:cs="宋体"/>
          <w:b/>
          <w:bCs/>
          <w:color w:val="000000" w:themeColor="text1"/>
          <w:sz w:val="24"/>
          <w:highlight w:val="none"/>
          <w:u w:val="single"/>
        </w:rPr>
        <w:t xml:space="preserve">建筑业</w:t>
      </w:r>
      <w:r>
        <w:rPr>
          <w:rFonts w:hint="eastAsia" w:ascii="宋体" w:hAnsi="宋体" w:cs="宋体"/>
          <w:color w:val="000000" w:themeColor="text1"/>
          <w:sz w:val="24"/>
          <w:highlight w:val="none"/>
        </w:rPr>
        <w:t xml:space="preserve">，供应商需按照</w:t>
      </w:r>
      <w:r>
        <w:rPr>
          <w:rFonts w:hint="eastAsia" w:ascii="宋体" w:hAnsi="宋体" w:cs="宋体"/>
          <w:color w:val="000000" w:themeColor="text1"/>
          <w:sz w:val="24"/>
          <w:highlight w:val="none"/>
          <w:lang w:eastAsia="zh-CN"/>
        </w:rPr>
        <w:t xml:space="preserve">磋商文件</w:t>
      </w:r>
      <w:r>
        <w:rPr>
          <w:rFonts w:hint="eastAsia" w:ascii="宋体" w:hAnsi="宋体" w:cs="宋体"/>
          <w:color w:val="000000" w:themeColor="text1"/>
          <w:sz w:val="24"/>
          <w:highlight w:val="none"/>
        </w:rPr>
        <w:t xml:space="preserve">的要求提供相应的《中小企业声明函》。企业标准请参照《关于印发中小企业划型标准规定的通知》（工信部联企业[2011]300号）文件规定自行填写。</w:t>
      </w:r>
      <w:r/>
    </w:p>
    <w:p>
      <w:pPr>
        <w:numPr>
          <w:ilvl w:val="0"/>
          <w:numId w:val="3"/>
        </w:num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本项目的特定资格要求：</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1.投标供应商具有安全生产条件，具备安全生产许可证（提供有效安全生产许可证扫描件加盖投标人公章）</w:t>
      </w:r>
      <w:r/>
    </w:p>
    <w:p>
      <w:pPr>
        <w:ind w:firstLine="480"/>
        <w:spacing w:line="520" w:lineRule="exact"/>
        <w:rPr>
          <w:color w:val="000000" w:themeColor="text1"/>
          <w:highlight w:val="none"/>
        </w:rPr>
      </w:pPr>
      <w:r>
        <w:rPr>
          <w:rFonts w:hint="eastAsia" w:ascii="宋体" w:hAnsi="宋体" w:cs="宋体"/>
          <w:color w:val="000000" w:themeColor="text1"/>
          <w:sz w:val="24"/>
          <w:highlight w:val="none"/>
        </w:rPr>
        <w:t xml:space="preserve">2.投标供应商项目经理须为本单位正式员工，提供社保机构出具的近6个月以来至少一个月社保缴费证明材料。（提供加盖社保中心章或社保中心参保缴费证明电子专用章）</w:t>
      </w:r>
      <w:r/>
    </w:p>
    <w:p>
      <w:pPr>
        <w:pStyle w:val="759"/>
        <w:jc w:val="both"/>
        <w:spacing w:before="0" w:after="0" w:line="520" w:lineRule="exact"/>
        <w:rPr>
          <w:rFonts w:hint="eastAsia" w:ascii="宋体" w:hAnsi="宋体" w:eastAsia="宋体" w:cs="宋体"/>
          <w:bCs/>
          <w:color w:val="000000" w:themeColor="text1"/>
          <w:sz w:val="24"/>
          <w:szCs w:val="24"/>
          <w:highlight w:val="none"/>
          <w:lang w:eastAsia="zh-CN"/>
        </w:rPr>
      </w:pPr>
      <w:r/>
      <w:bookmarkStart w:id="27" w:name="_Toc8983"/>
      <w:r/>
      <w:bookmarkStart w:id="28" w:name="_Toc203032686"/>
      <w:r/>
      <w:bookmarkStart w:id="29" w:name="_Toc212826090"/>
      <w:r>
        <w:rPr>
          <w:rFonts w:hint="eastAsia" w:ascii="宋体" w:hAnsi="宋体" w:eastAsia="宋体" w:cs="宋体"/>
          <w:bCs/>
          <w:color w:val="000000" w:themeColor="text1"/>
          <w:sz w:val="24"/>
          <w:szCs w:val="24"/>
          <w:highlight w:val="none"/>
        </w:rPr>
        <w:t xml:space="preserve">三、获取</w:t>
      </w:r>
      <w:bookmarkEnd w:id="22"/>
      <w:r/>
      <w:bookmarkEnd w:id="23"/>
      <w:r/>
      <w:bookmarkEnd w:id="24"/>
      <w:r/>
      <w:bookmarkEnd w:id="25"/>
      <w:r/>
      <w:bookmarkEnd w:id="26"/>
      <w:r/>
      <w:bookmarkEnd w:id="27"/>
      <w:r/>
      <w:bookmarkEnd w:id="28"/>
      <w:r/>
      <w:bookmarkEnd w:id="29"/>
      <w:r>
        <w:rPr>
          <w:rFonts w:hint="eastAsia" w:ascii="宋体" w:hAnsi="宋体" w:eastAsia="宋体" w:cs="宋体"/>
          <w:bCs/>
          <w:color w:val="000000" w:themeColor="text1"/>
          <w:sz w:val="24"/>
          <w:szCs w:val="24"/>
          <w:highlight w:val="none"/>
          <w:lang w:eastAsia="zh-CN"/>
        </w:rPr>
        <w:t xml:space="preserve">磋商文件</w:t>
      </w:r>
      <w:r/>
    </w:p>
    <w:p>
      <w:pPr>
        <w:ind w:firstLine="480"/>
        <w:spacing w:line="520" w:lineRule="exact"/>
        <w:rPr>
          <w:rFonts w:ascii="宋体" w:hAnsi="宋体" w:cs="宋体"/>
          <w:color w:val="000000" w:themeColor="text1"/>
          <w:sz w:val="24"/>
          <w:highlight w:val="none"/>
        </w:rPr>
      </w:pPr>
      <w:r/>
      <w:bookmarkStart w:id="30" w:name="_Toc35393801"/>
      <w:r/>
      <w:bookmarkStart w:id="31" w:name="_Toc28359092"/>
      <w:r/>
      <w:bookmarkStart w:id="32" w:name="_Toc166856189"/>
      <w:r/>
      <w:bookmarkStart w:id="33" w:name="_Toc28359015"/>
      <w:r/>
      <w:bookmarkStart w:id="34" w:name="_Toc35393632"/>
      <w:r>
        <w:rPr>
          <w:rFonts w:hint="eastAsia" w:ascii="宋体" w:hAnsi="宋体" w:cs="宋体"/>
          <w:color w:val="000000" w:themeColor="text1"/>
          <w:sz w:val="24"/>
          <w:highlight w:val="none"/>
        </w:rPr>
        <w:t xml:space="preserve">时间：自磋商文件公告发布之日起5个工作日；</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地点：“苏采云”系统内免费下载（供应商必须在苏采云系统中获取</w:t>
      </w:r>
      <w:r>
        <w:rPr>
          <w:rFonts w:hint="eastAsia" w:ascii="宋体" w:hAnsi="宋体" w:cs="宋体"/>
          <w:color w:val="000000" w:themeColor="text1"/>
          <w:sz w:val="24"/>
          <w:highlight w:val="none"/>
          <w:lang w:eastAsia="zh-CN"/>
        </w:rPr>
        <w:t xml:space="preserve">磋商文件</w:t>
      </w:r>
      <w:r>
        <w:rPr>
          <w:rFonts w:hint="eastAsia" w:ascii="宋体" w:hAnsi="宋体" w:cs="宋体"/>
          <w:color w:val="000000" w:themeColor="text1"/>
          <w:sz w:val="24"/>
          <w:highlight w:val="none"/>
        </w:rPr>
        <w:t xml:space="preserve">，方能参与政府采购项目）；</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方式：本项目采用网上注册登记方式；</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售价：0.00元。</w:t>
      </w:r>
      <w:r/>
    </w:p>
    <w:p>
      <w:pPr>
        <w:pStyle w:val="759"/>
        <w:jc w:val="both"/>
        <w:spacing w:before="0" w:after="0" w:line="520" w:lineRule="exact"/>
        <w:rPr>
          <w:rFonts w:ascii="宋体" w:hAnsi="宋体" w:eastAsia="宋体" w:cs="宋体"/>
          <w:bCs/>
          <w:color w:val="000000" w:themeColor="text1"/>
          <w:sz w:val="24"/>
          <w:szCs w:val="24"/>
          <w:highlight w:val="none"/>
        </w:rPr>
      </w:pPr>
      <w:r/>
      <w:bookmarkStart w:id="35" w:name="_Toc212826091"/>
      <w:r/>
      <w:bookmarkStart w:id="36" w:name="_Toc203032687"/>
      <w:r/>
      <w:bookmarkStart w:id="37" w:name="_Toc8360"/>
      <w:r>
        <w:rPr>
          <w:rFonts w:hint="eastAsia" w:ascii="宋体" w:hAnsi="宋体" w:eastAsia="宋体" w:cs="宋体"/>
          <w:bCs/>
          <w:color w:val="000000" w:themeColor="text1"/>
          <w:sz w:val="24"/>
          <w:szCs w:val="24"/>
          <w:highlight w:val="none"/>
        </w:rPr>
        <w:t xml:space="preserve">四、</w:t>
      </w:r>
      <w:bookmarkEnd w:id="30"/>
      <w:r/>
      <w:bookmarkEnd w:id="31"/>
      <w:r/>
      <w:bookmarkEnd w:id="32"/>
      <w:r/>
      <w:bookmarkEnd w:id="33"/>
      <w:r/>
      <w:bookmarkEnd w:id="34"/>
      <w:r>
        <w:rPr>
          <w:rFonts w:hint="eastAsia" w:ascii="宋体" w:hAnsi="宋体" w:eastAsia="宋体" w:cs="宋体"/>
          <w:bCs/>
          <w:color w:val="000000" w:themeColor="text1"/>
          <w:sz w:val="24"/>
          <w:szCs w:val="24"/>
          <w:highlight w:val="none"/>
        </w:rPr>
        <w:t xml:space="preserve">提交投标文件截止时间、开标时间和地点</w:t>
      </w:r>
      <w:bookmarkEnd w:id="35"/>
      <w:r/>
      <w:bookmarkEnd w:id="36"/>
      <w:r/>
      <w:bookmarkEnd w:id="37"/>
      <w:r/>
      <w:r/>
    </w:p>
    <w:p>
      <w:pPr>
        <w:ind w:firstLine="480"/>
        <w:spacing w:line="520" w:lineRule="exact"/>
        <w:rPr>
          <w:rFonts w:ascii="宋体" w:hAnsi="宋体" w:cs="宋体"/>
          <w:color w:val="000000" w:themeColor="text1"/>
          <w:sz w:val="24"/>
          <w:highlight w:val="none"/>
        </w:rPr>
      </w:pPr>
      <w:r/>
      <w:bookmarkStart w:id="38" w:name="_Toc35393802"/>
      <w:r/>
      <w:bookmarkStart w:id="39" w:name="_Toc28359093"/>
      <w:r/>
      <w:bookmarkStart w:id="40" w:name="_Toc28359016"/>
      <w:r/>
      <w:bookmarkStart w:id="41" w:name="_Toc35393633"/>
      <w:r/>
      <w:bookmarkStart w:id="42" w:name="_Toc166856190"/>
      <w:r/>
      <w:bookmarkStart w:id="43" w:name="_Toc35393803"/>
      <w:r/>
      <w:bookmarkStart w:id="44" w:name="_Toc35393634"/>
      <w:r/>
      <w:bookmarkStart w:id="45" w:name="_Toc28359017"/>
      <w:r/>
      <w:bookmarkStart w:id="46" w:name="_Toc28359094"/>
      <w:r>
        <w:rPr>
          <w:rFonts w:hint="eastAsia" w:ascii="宋体" w:hAnsi="宋体" w:cs="宋体"/>
          <w:color w:val="000000" w:themeColor="text1"/>
          <w:sz w:val="24"/>
          <w:highlight w:val="none"/>
        </w:rPr>
        <w:t xml:space="preserve">202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年</w:t>
      </w:r>
      <w:r>
        <w:rPr>
          <w:rFonts w:hint="eastAsia" w:ascii="宋体" w:hAnsi="宋体"/>
          <w:color w:val="000000" w:themeColor="text1"/>
          <w:sz w:val="24"/>
          <w:highlight w:val="none"/>
          <w:lang w:val="en-US" w:eastAsia="zh-CN"/>
        </w:rPr>
        <w:t xml:space="preserve">01</w:t>
      </w:r>
      <w:r>
        <w:rPr>
          <w:rFonts w:hint="eastAsia" w:ascii="宋体" w:hAnsi="宋体"/>
          <w:color w:val="000000" w:themeColor="text1"/>
          <w:sz w:val="24"/>
          <w:highlight w:val="none"/>
        </w:rPr>
        <w:t xml:space="preserve">月</w:t>
      </w:r>
      <w:r>
        <w:rPr>
          <w:rFonts w:hint="eastAsia" w:ascii="宋体" w:hAnsi="宋体"/>
          <w:color w:val="000000" w:themeColor="text1"/>
          <w:sz w:val="24"/>
          <w:highlight w:val="none"/>
          <w:lang w:val="en-US" w:eastAsia="zh-CN"/>
        </w:rPr>
        <w:t xml:space="preserve">13</w:t>
      </w:r>
      <w:r>
        <w:rPr>
          <w:rFonts w:hint="eastAsia" w:ascii="宋体" w:hAnsi="宋体"/>
          <w:color w:val="000000" w:themeColor="text1"/>
          <w:sz w:val="24"/>
          <w:highlight w:val="none"/>
        </w:rPr>
        <w:t xml:space="preserve">日</w:t>
      </w:r>
      <w:r>
        <w:rPr>
          <w:rFonts w:hint="eastAsia" w:ascii="宋体" w:hAnsi="宋体"/>
          <w:color w:val="000000" w:themeColor="text1"/>
          <w:sz w:val="24"/>
          <w:highlight w:val="none"/>
          <w:lang w:val="en-US" w:eastAsia="zh-CN"/>
        </w:rPr>
        <w:t xml:space="preserve">15</w:t>
      </w:r>
      <w:r>
        <w:rPr>
          <w:rFonts w:hint="eastAsia" w:ascii="宋体" w:hAnsi="宋体"/>
          <w:color w:val="000000" w:themeColor="text1"/>
          <w:sz w:val="24"/>
          <w:highlight w:val="none"/>
        </w:rPr>
        <w:t xml:space="preserve">点</w:t>
      </w:r>
      <w:r>
        <w:rPr>
          <w:rFonts w:hint="eastAsia" w:ascii="宋体" w:hAnsi="宋体"/>
          <w:color w:val="000000" w:themeColor="text1"/>
          <w:sz w:val="24"/>
          <w:highlight w:val="none"/>
          <w:lang w:val="en-US" w:eastAsia="zh-CN"/>
        </w:rPr>
        <w:t xml:space="preserve">00</w:t>
      </w:r>
      <w:r>
        <w:rPr>
          <w:rFonts w:hint="eastAsia" w:ascii="宋体" w:hAnsi="宋体"/>
          <w:color w:val="000000" w:themeColor="text1"/>
          <w:sz w:val="24"/>
          <w:highlight w:val="none"/>
        </w:rPr>
        <w:t xml:space="preserve">分</w:t>
      </w:r>
      <w:r>
        <w:rPr>
          <w:rFonts w:hint="eastAsia" w:ascii="宋体" w:hAnsi="宋体" w:cs="宋体"/>
          <w:color w:val="000000" w:themeColor="text1"/>
          <w:sz w:val="24"/>
          <w:highlight w:val="none"/>
        </w:rPr>
        <w:t xml:space="preserve">（北京时间）</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地点：“苏采云”政府采购交易系统网上开标大厅 </w:t>
      </w:r>
      <w:bookmarkEnd w:id="38"/>
      <w:r/>
      <w:bookmarkEnd w:id="39"/>
      <w:r/>
      <w:bookmarkEnd w:id="40"/>
      <w:r/>
      <w:bookmarkEnd w:id="41"/>
      <w:r/>
      <w:bookmarkEnd w:id="42"/>
      <w:r/>
      <w:r/>
    </w:p>
    <w:p>
      <w:pPr>
        <w:pStyle w:val="759"/>
        <w:jc w:val="both"/>
        <w:spacing w:before="0" w:after="0" w:line="520" w:lineRule="exact"/>
        <w:rPr>
          <w:rFonts w:ascii="宋体" w:hAnsi="宋体" w:eastAsia="宋体" w:cs="宋体"/>
          <w:bCs/>
          <w:color w:val="000000" w:themeColor="text1"/>
          <w:sz w:val="24"/>
          <w:szCs w:val="24"/>
          <w:highlight w:val="none"/>
        </w:rPr>
      </w:pPr>
      <w:r/>
      <w:bookmarkStart w:id="47" w:name="_Toc166856191"/>
      <w:r/>
      <w:bookmarkStart w:id="48" w:name="_Toc17557"/>
      <w:r/>
      <w:bookmarkStart w:id="49" w:name="_Toc203032688"/>
      <w:r/>
      <w:bookmarkStart w:id="50" w:name="_Toc212826092"/>
      <w:r>
        <w:rPr>
          <w:rFonts w:hint="eastAsia" w:ascii="宋体" w:hAnsi="宋体" w:eastAsia="宋体" w:cs="宋体"/>
          <w:bCs/>
          <w:color w:val="000000" w:themeColor="text1"/>
          <w:sz w:val="24"/>
          <w:szCs w:val="24"/>
          <w:highlight w:val="none"/>
        </w:rPr>
        <w:t xml:space="preserve">五、公告期限</w:t>
      </w:r>
      <w:bookmarkEnd w:id="43"/>
      <w:r/>
      <w:bookmarkEnd w:id="44"/>
      <w:r/>
      <w:bookmarkEnd w:id="45"/>
      <w:r/>
      <w:bookmarkEnd w:id="46"/>
      <w:r/>
      <w:bookmarkEnd w:id="47"/>
      <w:r/>
      <w:bookmarkEnd w:id="48"/>
      <w:r/>
      <w:bookmarkEnd w:id="49"/>
      <w:r/>
      <w:bookmarkEnd w:id="50"/>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自本公告发布之日起3个工作日。</w:t>
      </w:r>
      <w:r/>
    </w:p>
    <w:p>
      <w:pPr>
        <w:pStyle w:val="759"/>
        <w:jc w:val="both"/>
        <w:spacing w:before="0" w:after="0" w:line="520" w:lineRule="exact"/>
        <w:rPr>
          <w:rFonts w:ascii="宋体" w:hAnsi="宋体" w:eastAsia="宋体" w:cs="宋体"/>
          <w:bCs/>
          <w:color w:val="000000" w:themeColor="text1"/>
          <w:sz w:val="24"/>
          <w:szCs w:val="24"/>
          <w:highlight w:val="none"/>
        </w:rPr>
      </w:pPr>
      <w:r/>
      <w:bookmarkStart w:id="51" w:name="_Toc35393635"/>
      <w:r/>
      <w:bookmarkStart w:id="52" w:name="_Toc6110"/>
      <w:r/>
      <w:bookmarkStart w:id="53" w:name="_Toc35393804"/>
      <w:r/>
      <w:bookmarkStart w:id="54" w:name="_Toc203032689"/>
      <w:r/>
      <w:bookmarkStart w:id="55" w:name="_Toc166856192"/>
      <w:r/>
      <w:bookmarkStart w:id="56" w:name="_Toc212826093"/>
      <w:r>
        <w:rPr>
          <w:rFonts w:hint="eastAsia" w:ascii="宋体" w:hAnsi="宋体" w:eastAsia="宋体" w:cs="宋体"/>
          <w:bCs/>
          <w:color w:val="000000" w:themeColor="text1"/>
          <w:sz w:val="24"/>
          <w:szCs w:val="24"/>
          <w:highlight w:val="none"/>
        </w:rPr>
        <w:t xml:space="preserve">六、其他补充事宜</w:t>
      </w:r>
      <w:bookmarkEnd w:id="51"/>
      <w:r/>
      <w:bookmarkEnd w:id="52"/>
      <w:r/>
      <w:bookmarkEnd w:id="53"/>
      <w:r/>
      <w:bookmarkEnd w:id="54"/>
      <w:r/>
      <w:bookmarkEnd w:id="55"/>
      <w:r/>
      <w:bookmarkEnd w:id="56"/>
      <w:r/>
      <w:r/>
    </w:p>
    <w:p>
      <w:pPr>
        <w:ind w:firstLine="480"/>
        <w:spacing w:line="520" w:lineRule="exact"/>
        <w:rPr>
          <w:rFonts w:ascii="宋体" w:hAnsi="宋体" w:cs="宋体"/>
          <w:color w:val="000000" w:themeColor="text1"/>
          <w:sz w:val="24"/>
          <w:highlight w:val="none"/>
        </w:rPr>
      </w:pPr>
      <w:r/>
      <w:bookmarkStart w:id="57" w:name="_Toc35393805"/>
      <w:r/>
      <w:bookmarkStart w:id="58" w:name="_Toc28359018"/>
      <w:r/>
      <w:bookmarkStart w:id="59" w:name="_Toc28359095"/>
      <w:r/>
      <w:bookmarkStart w:id="60" w:name="_Toc166856193"/>
      <w:r/>
      <w:bookmarkStart w:id="61" w:name="_Toc35393636"/>
      <w:r>
        <w:rPr>
          <w:rFonts w:hint="eastAsia" w:ascii="宋体" w:hAnsi="宋体" w:cs="宋体"/>
          <w:color w:val="000000" w:themeColor="text1"/>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2、潜在供应商访问电子招标响应交易平台的网络地址和方法： </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2.2潜在供应商访问“苏采云”系统方法：江苏省政府采购网首页-“苏采云”链接。 </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2.3磋商文件（后缀名为“.kedt”）、供应商操作手册及政府采购客户端 工具可通过“苏采云”系统相应链接进行下载。 </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2.4采购代理机构将数据电文形式的磋商文件加载至“苏采云”系统，供潜在供应商下载或者查阅。 </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2.5请潜在投标单位提前安装相应的控件（详见《“苏采云”系统供应商操作手册》）并使用谷歌浏览器登录“苏采云”系统参与不见面开评标。 </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如潜在供应商未按上述要求操作，将自行承担所产生的风险。</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3、有关本次磋商的事项若存在变动或修改，敬请及时关注招标代理机构在 “中国政府采购网”、“江苏政府采购网”、“盐城市政府采购网”发布的更正公告。</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4、供应商不得提供虚假材料谋取中标成交的或采取不正当手段诋毁、排挤其他供应商。</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5、供应商存在串通投标、以他人名义投标、弄虚作假等违法违规行为，或者无正当理由放弃投标、中标资格，造成项目招标失败的，不得参加该项目重新招标的投标。</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6、因供应商的系统环境、操作等原因导致项目参与、开评标过程中出现问题由供应商自行承担负责</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7、本项目不收取投标保证金、不收取质量保证金。</w:t>
      </w:r>
      <w:r/>
    </w:p>
    <w:p>
      <w:pPr>
        <w:pStyle w:val="759"/>
        <w:jc w:val="both"/>
        <w:spacing w:before="0" w:after="0" w:line="520" w:lineRule="exact"/>
        <w:rPr>
          <w:rFonts w:ascii="宋体" w:hAnsi="宋体" w:eastAsia="宋体" w:cs="宋体"/>
          <w:bCs/>
          <w:color w:val="000000" w:themeColor="text1"/>
          <w:sz w:val="24"/>
          <w:szCs w:val="24"/>
          <w:highlight w:val="none"/>
        </w:rPr>
      </w:pPr>
      <w:r/>
      <w:bookmarkStart w:id="62" w:name="_Toc203032690"/>
      <w:r/>
      <w:bookmarkStart w:id="63" w:name="_Toc25095"/>
      <w:r/>
      <w:bookmarkStart w:id="64" w:name="_Toc212826094"/>
      <w:r>
        <w:rPr>
          <w:rFonts w:hint="eastAsia" w:ascii="宋体" w:hAnsi="宋体" w:eastAsia="宋体" w:cs="宋体"/>
          <w:bCs/>
          <w:color w:val="000000" w:themeColor="text1"/>
          <w:sz w:val="24"/>
          <w:szCs w:val="24"/>
          <w:highlight w:val="none"/>
        </w:rPr>
        <w:t xml:space="preserve">七、凡对本次采购提出询问，请按以下方式联系。</w:t>
      </w:r>
      <w:bookmarkEnd w:id="57"/>
      <w:r/>
      <w:bookmarkEnd w:id="58"/>
      <w:r/>
      <w:bookmarkEnd w:id="59"/>
      <w:r/>
      <w:bookmarkEnd w:id="60"/>
      <w:r/>
      <w:bookmarkEnd w:id="61"/>
      <w:r/>
      <w:bookmarkEnd w:id="62"/>
      <w:r/>
      <w:bookmarkEnd w:id="63"/>
      <w:r/>
      <w:bookmarkEnd w:id="64"/>
      <w:r/>
      <w:r/>
    </w:p>
    <w:p>
      <w:pPr>
        <w:ind w:firstLine="480"/>
        <w:spacing w:line="520" w:lineRule="exact"/>
        <w:rPr>
          <w:rFonts w:ascii="宋体" w:hAnsi="宋体" w:cs="宋体"/>
          <w:color w:val="000000" w:themeColor="text1"/>
          <w:sz w:val="24"/>
          <w:highlight w:val="none"/>
        </w:rPr>
      </w:pPr>
      <w:r/>
      <w:bookmarkStart w:id="65" w:name="_Toc35393806"/>
      <w:r/>
      <w:bookmarkStart w:id="66" w:name="_Toc28359019"/>
      <w:r/>
      <w:bookmarkStart w:id="67" w:name="_Toc28359096"/>
      <w:r/>
      <w:bookmarkStart w:id="68" w:name="_Toc35393637"/>
      <w:r>
        <w:rPr>
          <w:rFonts w:hint="eastAsia" w:ascii="宋体" w:hAnsi="宋体" w:cs="宋体"/>
          <w:color w:val="000000" w:themeColor="text1"/>
          <w:sz w:val="24"/>
          <w:highlight w:val="none"/>
        </w:rPr>
        <w:t xml:space="preserve">1.采购人信息</w:t>
      </w:r>
      <w:bookmarkEnd w:id="65"/>
      <w:r/>
      <w:bookmarkEnd w:id="66"/>
      <w:r/>
      <w:bookmarkEnd w:id="67"/>
      <w:r/>
      <w:bookmarkEnd w:id="68"/>
      <w:r/>
      <w:bookmarkStart w:id="69" w:name="_Toc35393638"/>
      <w:r/>
      <w:bookmarkEnd w:id="69"/>
      <w:r/>
      <w:bookmarkStart w:id="70" w:name="_Toc35393807"/>
      <w:r/>
      <w:bookmarkEnd w:id="70"/>
      <w:r/>
      <w:bookmarkStart w:id="71" w:name="_Toc28359020"/>
      <w:r/>
      <w:bookmarkEnd w:id="71"/>
      <w:r/>
      <w:bookmarkStart w:id="72" w:name="_Toc28359097"/>
      <w:r/>
      <w:bookmarkEnd w:id="72"/>
      <w:r/>
      <w:r/>
    </w:p>
    <w:p>
      <w:pPr>
        <w:ind w:firstLine="480"/>
        <w:spacing w:line="520" w:lineRule="exact"/>
        <w:rPr>
          <w:rFonts w:ascii="宋体" w:hAnsi="宋体" w:cs="宋体"/>
          <w:color w:val="000000" w:themeColor="text1"/>
          <w:sz w:val="24"/>
          <w:highlight w:val="none"/>
        </w:rPr>
      </w:pPr>
      <w:r/>
      <w:bookmarkStart w:id="73" w:name="_Toc28359098"/>
      <w:r/>
      <w:bookmarkStart w:id="74" w:name="_Toc28359021"/>
      <w:r/>
      <w:bookmarkStart w:id="75" w:name="_Toc35393639"/>
      <w:r/>
      <w:bookmarkStart w:id="76" w:name="_Toc35393808"/>
      <w:r>
        <w:rPr>
          <w:rFonts w:hint="eastAsia" w:ascii="宋体" w:hAnsi="宋体" w:cs="宋体"/>
          <w:color w:val="000000" w:themeColor="text1"/>
          <w:sz w:val="24"/>
          <w:highlight w:val="none"/>
        </w:rPr>
        <w:t xml:space="preserve">名    称：盐城市公安局</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    址：盐城市平安路9号</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 系 人：江警官</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联系电话：0515-83220095</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2.采购代理机构信息</w:t>
      </w:r>
      <w:bookmarkEnd w:id="73"/>
      <w:r/>
      <w:bookmarkEnd w:id="74"/>
      <w:r/>
      <w:bookmarkEnd w:id="75"/>
      <w:r/>
      <w:bookmarkEnd w:id="76"/>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名    称：盐城市智禾项目管理有限公司</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    址：盐城市盐都区宏都路华邦国际西厦 603室</w:t>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 系 人：</w:t>
      </w:r>
      <w:r>
        <w:rPr>
          <w:rFonts w:hint="eastAsia" w:cs="宋体"/>
          <w:color w:val="000000" w:themeColor="text1"/>
          <w:sz w:val="24"/>
          <w:szCs w:val="20"/>
          <w:highlight w:val="none"/>
        </w:rPr>
        <w:t xml:space="preserve">王女士</w:t>
      </w:r>
      <w:r/>
    </w:p>
    <w:p>
      <w:pPr>
        <w:ind w:firstLine="480"/>
        <w:spacing w:line="5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联系电话：18151392913</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项目联系人：王女士</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电话：18151392913</w:t>
      </w:r>
      <w:r/>
    </w:p>
    <w:p>
      <w:pPr>
        <w:ind w:firstLine="48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highlight w:val="none"/>
        </w:rPr>
      </w:r>
      <w:r>
        <w:rPr>
          <w:rFonts w:hint="eastAsia" w:ascii="宋体" w:hAnsi="宋体" w:cs="宋体"/>
          <w:color w:val="000000" w:themeColor="text1"/>
          <w:sz w:val="24"/>
          <w:highlight w:val="none"/>
        </w:rPr>
      </w:r>
    </w:p>
    <w:p>
      <w:pPr>
        <w:jc w:val="left"/>
        <w:widowControl/>
        <w:rPr>
          <w:rFonts w:ascii="Cambria" w:hAnsi="Cambria"/>
          <w:b/>
          <w:bCs/>
          <w:color w:val="000000" w:themeColor="text1"/>
          <w:sz w:val="36"/>
          <w:szCs w:val="36"/>
          <w:highlight w:val="none"/>
        </w:rPr>
      </w:pPr>
      <w:r>
        <w:rPr>
          <w:color w:val="000000" w:themeColor="text1"/>
          <w:sz w:val="36"/>
          <w:szCs w:val="36"/>
          <w:highlight w:val="none"/>
        </w:rPr>
        <w:br w:type="page" w:clear="all"/>
      </w:r>
      <w:r/>
    </w:p>
    <w:p>
      <w:pPr>
        <w:pStyle w:val="805"/>
        <w:rPr>
          <w:color w:val="000000" w:themeColor="text1"/>
          <w:sz w:val="36"/>
          <w:szCs w:val="36"/>
          <w:highlight w:val="none"/>
        </w:rPr>
      </w:pPr>
      <w:r/>
      <w:bookmarkStart w:id="77" w:name="_Toc29679"/>
      <w:r/>
      <w:bookmarkStart w:id="78" w:name="_Toc212826095"/>
      <w:r>
        <w:rPr>
          <w:rFonts w:hint="eastAsia"/>
          <w:color w:val="000000" w:themeColor="text1"/>
          <w:sz w:val="36"/>
          <w:szCs w:val="36"/>
          <w:highlight w:val="none"/>
        </w:rPr>
        <w:t xml:space="preserve">第二章  磋商须知</w:t>
      </w:r>
      <w:bookmarkEnd w:id="3"/>
      <w:r/>
      <w:bookmarkEnd w:id="4"/>
      <w:r/>
      <w:bookmarkEnd w:id="5"/>
      <w:r/>
      <w:bookmarkEnd w:id="77"/>
      <w:r/>
      <w:bookmarkEnd w:id="78"/>
      <w:r/>
      <w:r/>
    </w:p>
    <w:p>
      <w:pPr>
        <w:ind w:firstLine="2040"/>
        <w:spacing w:after="143" w:line="360" w:lineRule="auto"/>
        <w:rPr>
          <w:rFonts w:ascii="宋体" w:hAnsi="宋体"/>
          <w:b/>
          <w:bCs/>
          <w:color w:val="000000" w:themeColor="text1"/>
          <w:sz w:val="24"/>
          <w:highlight w:val="none"/>
        </w:rPr>
      </w:pPr>
      <w:r/>
      <w:bookmarkStart w:id="79" w:name="_Toc513029237"/>
      <w:r/>
      <w:bookmarkStart w:id="80" w:name="_Toc20823309"/>
      <w:r/>
      <w:bookmarkStart w:id="81" w:name="_Toc16938553"/>
      <w:r>
        <w:rPr>
          <w:rFonts w:hint="eastAsia" w:ascii="宋体" w:hAnsi="宋体"/>
          <w:bCs/>
          <w:color w:val="000000" w:themeColor="text1"/>
          <w:sz w:val="24"/>
          <w:highlight w:val="none"/>
        </w:rPr>
        <w:t xml:space="preserve">（参加竞争性磋商的供应商以下简称“磋商供应商”）</w:t>
      </w:r>
      <w:r/>
    </w:p>
    <w:p>
      <w:pPr>
        <w:ind w:firstLine="482"/>
        <w:spacing w:line="440" w:lineRule="exact"/>
        <w:tabs>
          <w:tab w:val="left" w:pos="900" w:leader="none"/>
        </w:tabs>
        <w:rPr>
          <w:rFonts w:ascii="宋体" w:hAnsi="宋体"/>
          <w:color w:val="000000" w:themeColor="text1"/>
          <w:sz w:val="24"/>
          <w:highlight w:val="none"/>
        </w:rPr>
        <w:outlineLvl w:val="1"/>
      </w:pPr>
      <w:r/>
      <w:bookmarkStart w:id="82" w:name="_Toc212826096"/>
      <w:r/>
      <w:bookmarkStart w:id="83" w:name="_Toc203032692"/>
      <w:r/>
      <w:bookmarkStart w:id="84" w:name="_Toc30655"/>
      <w:r>
        <w:rPr>
          <w:rFonts w:hint="eastAsia" w:ascii="宋体" w:hAnsi="宋体"/>
          <w:b/>
          <w:color w:val="000000" w:themeColor="text1"/>
          <w:sz w:val="24"/>
          <w:highlight w:val="none"/>
        </w:rPr>
        <w:t xml:space="preserve">一、总则</w:t>
      </w:r>
      <w:bookmarkEnd w:id="82"/>
      <w:r/>
      <w:bookmarkEnd w:id="83"/>
      <w:r/>
      <w:bookmarkEnd w:id="84"/>
      <w:r/>
      <w:r/>
    </w:p>
    <w:p>
      <w:pPr>
        <w:ind w:firstLine="480"/>
        <w:spacing w:line="440" w:lineRule="exact"/>
        <w:rPr>
          <w:rFonts w:ascii="宋体" w:hAnsi="宋体"/>
          <w:color w:val="000000" w:themeColor="text1"/>
          <w:sz w:val="24"/>
          <w:highlight w:val="none"/>
        </w:rPr>
      </w:pPr>
      <w:r/>
      <w:bookmarkStart w:id="85" w:name="_Hlt26954832"/>
      <w:r/>
      <w:bookmarkEnd w:id="85"/>
      <w:r/>
      <w:bookmarkStart w:id="86" w:name="_Hlt26670345"/>
      <w:r/>
      <w:bookmarkEnd w:id="86"/>
      <w:r/>
      <w:bookmarkStart w:id="87" w:name="_Hlt26670348"/>
      <w:r/>
      <w:bookmarkEnd w:id="87"/>
      <w:r/>
      <w:bookmarkStart w:id="88" w:name="_Hlt26954830"/>
      <w:r/>
      <w:bookmarkEnd w:id="88"/>
      <w:r/>
      <w:bookmarkStart w:id="89" w:name="_Hlt26954828"/>
      <w:r/>
      <w:bookmarkEnd w:id="89"/>
      <w:r/>
      <w:bookmarkStart w:id="90" w:name="_Hlt26668969"/>
      <w:r/>
      <w:bookmarkEnd w:id="90"/>
      <w:r/>
      <w:bookmarkStart w:id="91" w:name="_Hlt26670354"/>
      <w:r/>
      <w:bookmarkEnd w:id="91"/>
      <w:r/>
      <w:bookmarkStart w:id="92" w:name="_Toc513029213"/>
      <w:r/>
      <w:bookmarkStart w:id="93" w:name="_Toc462564072"/>
      <w:r/>
      <w:bookmarkStart w:id="94" w:name="_Toc61149553"/>
      <w:r/>
      <w:bookmarkStart w:id="95" w:name="_Toc14577351"/>
      <w:r>
        <w:rPr>
          <w:rFonts w:hint="eastAsia" w:ascii="宋体" w:hAnsi="宋体"/>
          <w:color w:val="000000" w:themeColor="text1"/>
          <w:sz w:val="24"/>
          <w:highlight w:val="none"/>
        </w:rPr>
        <w:t xml:space="preserve">1.采购方式</w:t>
      </w:r>
      <w:r/>
    </w:p>
    <w:p>
      <w:pPr>
        <w:ind w:firstLine="480"/>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1.1本次政府采购活动采取竞争性磋商(以下简称磋商)方式，本磋商文件仅适用于磋商公告中所述项目。</w:t>
      </w:r>
      <w:r/>
    </w:p>
    <w:p>
      <w:pPr>
        <w:ind w:firstLine="480"/>
        <w:spacing w:line="440" w:lineRule="exact"/>
        <w:rPr>
          <w:rFonts w:ascii="宋体" w:hAnsi="宋体"/>
          <w:color w:val="000000" w:themeColor="text1"/>
          <w:sz w:val="24"/>
          <w:highlight w:val="none"/>
        </w:rPr>
      </w:pPr>
      <w:r/>
      <w:bookmarkStart w:id="96" w:name="_Toc20823277"/>
      <w:r/>
      <w:bookmarkStart w:id="97" w:name="_Toc16938521"/>
      <w:r/>
      <w:bookmarkStart w:id="98" w:name="_Toc513029205"/>
      <w:r>
        <w:rPr>
          <w:rFonts w:hint="eastAsia" w:ascii="宋体" w:hAnsi="宋体"/>
          <w:color w:val="000000" w:themeColor="text1"/>
          <w:sz w:val="24"/>
          <w:highlight w:val="none"/>
        </w:rPr>
        <w:t xml:space="preserve">2.合格的</w:t>
      </w:r>
      <w:bookmarkEnd w:id="96"/>
      <w:r/>
      <w:bookmarkEnd w:id="97"/>
      <w:r/>
      <w:bookmarkEnd w:id="98"/>
      <w:r>
        <w:rPr>
          <w:rFonts w:hint="eastAsia" w:ascii="宋体" w:hAnsi="宋体"/>
          <w:color w:val="000000" w:themeColor="text1"/>
          <w:sz w:val="24"/>
          <w:highlight w:val="none"/>
        </w:rPr>
        <w:t xml:space="preserve">供应商</w:t>
      </w:r>
      <w:r/>
    </w:p>
    <w:p>
      <w:pPr>
        <w:ind w:firstLine="480"/>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2.1满足磋商公告中供应商资格要求的规定。</w:t>
      </w:r>
      <w:r/>
    </w:p>
    <w:p>
      <w:pPr>
        <w:ind w:firstLine="480"/>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2.2 满足本磋商文件实质性要求和条件的规定。</w:t>
      </w:r>
      <w:r/>
    </w:p>
    <w:p>
      <w:pPr>
        <w:ind w:firstLine="480"/>
        <w:spacing w:line="440" w:lineRule="exact"/>
        <w:rPr>
          <w:rFonts w:ascii="宋体" w:hAnsi="宋体"/>
          <w:color w:val="000000" w:themeColor="text1"/>
          <w:sz w:val="24"/>
          <w:highlight w:val="none"/>
        </w:rPr>
      </w:pPr>
      <w:r/>
      <w:bookmarkStart w:id="99" w:name="_Toc16938522"/>
      <w:r/>
      <w:bookmarkStart w:id="100" w:name="_Toc513029206"/>
      <w:r/>
      <w:bookmarkStart w:id="101" w:name="_Toc20823278"/>
      <w:r>
        <w:rPr>
          <w:rFonts w:hint="eastAsia" w:ascii="宋体" w:hAnsi="宋体"/>
          <w:color w:val="000000" w:themeColor="text1"/>
          <w:sz w:val="24"/>
          <w:highlight w:val="none"/>
        </w:rPr>
        <w:t xml:space="preserve">3.适用法律</w:t>
      </w:r>
      <w:bookmarkEnd w:id="99"/>
      <w:r/>
      <w:bookmarkEnd w:id="100"/>
      <w:r/>
      <w:bookmarkEnd w:id="101"/>
      <w:r/>
      <w:r/>
    </w:p>
    <w:p>
      <w:pPr>
        <w:ind w:firstLine="480"/>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3.1 本次磋商及由此产生的合同受中华人民共和国有关的法律法规制约和保护。</w:t>
      </w:r>
      <w:r/>
    </w:p>
    <w:p>
      <w:pPr>
        <w:ind w:firstLine="480"/>
        <w:spacing w:line="440" w:lineRule="exact"/>
        <w:rPr>
          <w:rFonts w:ascii="宋体" w:hAnsi="宋体"/>
          <w:color w:val="000000" w:themeColor="text1"/>
          <w:sz w:val="24"/>
          <w:highlight w:val="none"/>
        </w:rPr>
      </w:pPr>
      <w:r/>
      <w:bookmarkStart w:id="102" w:name="_Toc20823279"/>
      <w:r/>
      <w:bookmarkStart w:id="103" w:name="_Toc16938523"/>
      <w:r/>
      <w:bookmarkStart w:id="104" w:name="_Toc462564067"/>
      <w:r/>
      <w:bookmarkStart w:id="105" w:name="_Toc513029207"/>
      <w:r>
        <w:rPr>
          <w:rFonts w:hint="eastAsia" w:ascii="宋体" w:hAnsi="宋体"/>
          <w:color w:val="000000" w:themeColor="text1"/>
          <w:sz w:val="24"/>
          <w:highlight w:val="none"/>
        </w:rPr>
        <w:t xml:space="preserve">4.磋商费用</w:t>
      </w:r>
      <w:bookmarkEnd w:id="102"/>
      <w:r/>
      <w:bookmarkEnd w:id="103"/>
      <w:r/>
      <w:bookmarkEnd w:id="104"/>
      <w:r/>
      <w:bookmarkEnd w:id="105"/>
      <w:r/>
      <w:r/>
    </w:p>
    <w:p>
      <w:pPr>
        <w:ind w:firstLine="480"/>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4.1供应商应自行承担所有与参加本次磋商有关的费用，无论磋商过程中的做法和结果如何，采购人及采购代理公司（以下简称“代理公司”）任何情况下均无义务和责任承担这些费用。</w:t>
      </w:r>
      <w:r/>
    </w:p>
    <w:p>
      <w:pPr>
        <w:ind w:firstLine="480"/>
        <w:spacing w:line="440" w:lineRule="exact"/>
        <w:rPr>
          <w:rFonts w:ascii="宋体" w:hAnsi="宋体"/>
          <w:color w:val="000000" w:themeColor="text1"/>
          <w:sz w:val="24"/>
          <w:highlight w:val="none"/>
        </w:rPr>
      </w:pPr>
      <w:r>
        <w:rPr>
          <w:rFonts w:hint="eastAsia" w:ascii="宋体" w:hAnsi="宋体" w:cs="宋体"/>
          <w:color w:val="000000" w:themeColor="text1"/>
          <w:sz w:val="24"/>
          <w:highlight w:val="none"/>
        </w:rPr>
        <w:t xml:space="preserve">4.2本项目</w:t>
      </w:r>
      <w:r>
        <w:rPr>
          <w:rFonts w:hint="eastAsia" w:ascii="宋体" w:hAnsi="宋体"/>
          <w:color w:val="000000" w:themeColor="text1"/>
          <w:sz w:val="24"/>
          <w:highlight w:val="none"/>
        </w:rPr>
        <w:t xml:space="preserve">磋商服务费参照</w:t>
      </w:r>
      <w:r>
        <w:rPr>
          <w:rFonts w:hint="eastAsia" w:ascii="宋体" w:hAnsi="宋体"/>
          <w:bCs/>
          <w:color w:val="000000" w:themeColor="text1"/>
          <w:sz w:val="24"/>
          <w:highlight w:val="none"/>
        </w:rPr>
        <w:t xml:space="preserve">《江苏省政府采购代理服务收费指导意见》的通知（苏政采协【2024】20号）收费标准的</w:t>
      </w:r>
      <w:r>
        <w:rPr>
          <w:rFonts w:hint="eastAsia" w:ascii="宋体" w:hAnsi="宋体"/>
          <w:bCs/>
          <w:color w:val="000000" w:themeColor="text1"/>
          <w:sz w:val="24"/>
          <w:highlight w:val="none"/>
          <w:u w:val="single"/>
        </w:rPr>
        <w:t xml:space="preserve">43.5 </w:t>
      </w:r>
      <w:r>
        <w:rPr>
          <w:rFonts w:hint="eastAsia" w:ascii="宋体" w:hAnsi="宋体"/>
          <w:bCs/>
          <w:color w:val="000000" w:themeColor="text1"/>
          <w:sz w:val="24"/>
          <w:highlight w:val="none"/>
        </w:rPr>
        <w:t xml:space="preserve">%计取</w:t>
      </w:r>
      <w:r>
        <w:rPr>
          <w:rFonts w:hint="eastAsia" w:ascii="宋体" w:hAnsi="宋体" w:cs="宋体"/>
          <w:color w:val="000000" w:themeColor="text1"/>
          <w:sz w:val="24"/>
          <w:highlight w:val="none"/>
        </w:rPr>
        <w:t xml:space="preserve">，由成交供应商领取成交通知书前，向代理公司支付。请供应商考虑在投标报价</w:t>
      </w:r>
      <w:r>
        <w:rPr>
          <w:rFonts w:hint="eastAsia" w:ascii="宋体" w:hAnsi="宋体"/>
          <w:color w:val="000000" w:themeColor="text1"/>
          <w:sz w:val="24"/>
          <w:highlight w:val="none"/>
        </w:rPr>
        <w:t xml:space="preserve">中（此项费用供应商在投标报价中不得单独列出）。</w:t>
      </w:r>
      <w:r/>
    </w:p>
    <w:p>
      <w:pPr>
        <w:ind w:firstLine="480"/>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5.磋商文件的约束力</w:t>
      </w:r>
      <w:r/>
    </w:p>
    <w:p>
      <w:pPr>
        <w:ind w:firstLine="480"/>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5.1供应商一旦参加本项目采购活动，即被认为接受了本磋商文件的规定和约束。</w:t>
      </w:r>
      <w:r/>
    </w:p>
    <w:p>
      <w:pPr>
        <w:ind w:firstLine="482"/>
        <w:spacing w:line="440" w:lineRule="exact"/>
        <w:tabs>
          <w:tab w:val="left" w:pos="900" w:leader="none"/>
        </w:tabs>
        <w:rPr>
          <w:rFonts w:ascii="宋体" w:hAnsi="宋体"/>
          <w:b/>
          <w:color w:val="000000" w:themeColor="text1"/>
          <w:sz w:val="24"/>
          <w:highlight w:val="none"/>
        </w:rPr>
        <w:outlineLvl w:val="1"/>
      </w:pPr>
      <w:r/>
      <w:bookmarkStart w:id="106" w:name="_Toc212826097"/>
      <w:r/>
      <w:bookmarkStart w:id="107" w:name="_Toc203032693"/>
      <w:r/>
      <w:bookmarkStart w:id="108" w:name="_Toc24490"/>
      <w:r>
        <w:rPr>
          <w:rFonts w:hint="eastAsia" w:ascii="宋体" w:hAnsi="宋体"/>
          <w:b/>
          <w:color w:val="000000" w:themeColor="text1"/>
          <w:sz w:val="24"/>
          <w:highlight w:val="none"/>
        </w:rPr>
        <w:t xml:space="preserve">二、磋商文件</w:t>
      </w:r>
      <w:bookmarkEnd w:id="92"/>
      <w:r/>
      <w:bookmarkEnd w:id="93"/>
      <w:r/>
      <w:bookmarkEnd w:id="94"/>
      <w:r/>
      <w:bookmarkEnd w:id="95"/>
      <w:r/>
      <w:bookmarkEnd w:id="106"/>
      <w:r/>
      <w:bookmarkEnd w:id="107"/>
      <w:r/>
      <w:bookmarkEnd w:id="108"/>
      <w:r/>
      <w:bookmarkStart w:id="109" w:name="_Toc14577361"/>
      <w:r/>
      <w:bookmarkEnd w:id="109"/>
      <w:r/>
      <w:bookmarkStart w:id="110" w:name="_Toc513029223"/>
      <w:r/>
      <w:bookmarkEnd w:id="110"/>
      <w:r/>
      <w:bookmarkStart w:id="111" w:name="_Toc61149561"/>
      <w:r/>
      <w:bookmarkEnd w:id="111"/>
      <w:r/>
      <w:r/>
    </w:p>
    <w:p>
      <w:pPr>
        <w:ind w:firstLine="480"/>
        <w:spacing w:line="440" w:lineRule="exact"/>
        <w:rPr>
          <w:rFonts w:ascii="宋体" w:hAnsi="宋体"/>
          <w:color w:val="000000" w:themeColor="text1"/>
          <w:sz w:val="24"/>
          <w:highlight w:val="none"/>
        </w:rPr>
      </w:pPr>
      <w:r/>
      <w:bookmarkStart w:id="112" w:name="_Toc16938526"/>
      <w:r/>
      <w:bookmarkStart w:id="113" w:name="_Toc20823282"/>
      <w:r/>
      <w:bookmarkStart w:id="114" w:name="_Toc513029210"/>
      <w:r/>
      <w:bookmarkStart w:id="115" w:name="_Toc14577352"/>
      <w:r/>
      <w:bookmarkStart w:id="116" w:name="_Toc462564074"/>
      <w:r/>
      <w:bookmarkStart w:id="117" w:name="_Toc61149554"/>
      <w:r/>
      <w:bookmarkStart w:id="118" w:name="_Toc462564073"/>
      <w:r/>
      <w:bookmarkStart w:id="119" w:name="_Toc513029215"/>
      <w:r/>
      <w:bookmarkStart w:id="120" w:name="_Toc14577353"/>
      <w:r/>
      <w:bookmarkStart w:id="121" w:name="_Toc61149555"/>
      <w:r/>
      <w:bookmarkStart w:id="122" w:name="_Toc513029214"/>
      <w:r/>
      <w:bookmarkStart w:id="123" w:name="_Toc16938529"/>
      <w:r/>
      <w:bookmarkStart w:id="124" w:name="_Toc20823285"/>
      <w:r/>
      <w:bookmarkStart w:id="125" w:name="_Toc120614216"/>
      <w:r>
        <w:rPr>
          <w:rFonts w:hint="eastAsia" w:ascii="宋体" w:hAnsi="宋体"/>
          <w:color w:val="000000" w:themeColor="text1"/>
          <w:sz w:val="24"/>
          <w:highlight w:val="none"/>
        </w:rPr>
        <w:t xml:space="preserve">6.磋商文件构成</w:t>
      </w:r>
      <w:bookmarkEnd w:id="112"/>
      <w:r/>
      <w:bookmarkEnd w:id="113"/>
      <w:r/>
      <w:bookmarkEnd w:id="114"/>
      <w:r/>
      <w:r/>
    </w:p>
    <w:p>
      <w:pPr>
        <w:ind w:firstLine="480"/>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6.1磋商文件由以下部分组成：</w:t>
      </w:r>
      <w:r/>
    </w:p>
    <w:p>
      <w:pPr>
        <w:ind w:firstLine="480"/>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（1）磋商公告</w:t>
      </w:r>
      <w:r/>
    </w:p>
    <w:p>
      <w:pPr>
        <w:ind w:firstLine="480"/>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（2）供应商须知</w:t>
      </w:r>
      <w:r/>
    </w:p>
    <w:p>
      <w:pPr>
        <w:ind w:firstLine="480"/>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（3）合同文本</w:t>
      </w:r>
      <w:r/>
    </w:p>
    <w:p>
      <w:pPr>
        <w:ind w:firstLine="480"/>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（4）采购需求</w:t>
      </w:r>
      <w:r/>
    </w:p>
    <w:p>
      <w:pPr>
        <w:ind w:firstLine="480"/>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（5）评审方法与评审标准</w:t>
      </w:r>
      <w:r/>
    </w:p>
    <w:p>
      <w:pPr>
        <w:ind w:firstLine="480"/>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（6）响应文件格式</w:t>
      </w:r>
      <w:r/>
    </w:p>
    <w:p>
      <w:pPr>
        <w:ind w:firstLine="480"/>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请仔细检查磋商文件是否齐全，如有缺漏请立即与代理公司联系解决。</w:t>
      </w:r>
      <w:r/>
    </w:p>
    <w:p>
      <w:pPr>
        <w:ind w:firstLine="480"/>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440" w:lineRule="exact"/>
        <w:rPr>
          <w:rFonts w:ascii="宋体" w:hAnsi="宋体"/>
          <w:color w:val="000000" w:themeColor="text1"/>
          <w:sz w:val="24"/>
          <w:highlight w:val="none"/>
        </w:rPr>
      </w:pPr>
      <w:r/>
      <w:bookmarkStart w:id="126" w:name="_Toc20823283"/>
      <w:r/>
      <w:bookmarkStart w:id="127" w:name="_Toc16938527"/>
      <w:r/>
      <w:bookmarkStart w:id="128" w:name="_Toc462564070"/>
      <w:r/>
      <w:bookmarkStart w:id="129" w:name="_Toc513029211"/>
      <w:r>
        <w:rPr>
          <w:rFonts w:hint="eastAsia" w:ascii="宋体" w:hAnsi="宋体"/>
          <w:color w:val="000000" w:themeColor="text1"/>
          <w:sz w:val="24"/>
          <w:highlight w:val="none"/>
        </w:rPr>
        <w:t xml:space="preserve">7.磋商文件的澄清</w:t>
      </w:r>
      <w:bookmarkEnd w:id="126"/>
      <w:r/>
      <w:bookmarkEnd w:id="127"/>
      <w:r/>
      <w:bookmarkEnd w:id="128"/>
      <w:r/>
      <w:bookmarkEnd w:id="129"/>
      <w:r/>
      <w:r/>
    </w:p>
    <w:p>
      <w:pPr>
        <w:ind w:firstLine="480"/>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7.1任何要求对磋商文件进行澄清的供应商，应在磋商截止期5日前按磋商公告中的通讯地址，以书面形式通知代理公司。</w:t>
      </w:r>
      <w:r/>
    </w:p>
    <w:p>
      <w:pPr>
        <w:ind w:firstLine="480"/>
        <w:spacing w:line="440" w:lineRule="exact"/>
        <w:rPr>
          <w:rFonts w:ascii="宋体" w:hAnsi="宋体"/>
          <w:color w:val="000000" w:themeColor="text1"/>
          <w:sz w:val="24"/>
          <w:highlight w:val="none"/>
        </w:rPr>
      </w:pPr>
      <w:r/>
      <w:bookmarkStart w:id="130" w:name="_Toc20823284"/>
      <w:r/>
      <w:bookmarkStart w:id="131" w:name="_Toc16938528"/>
      <w:r/>
      <w:bookmarkStart w:id="132" w:name="_Toc462564071"/>
      <w:r/>
      <w:bookmarkStart w:id="133" w:name="_Toc513029212"/>
      <w:r>
        <w:rPr>
          <w:rFonts w:hint="eastAsia" w:ascii="宋体" w:hAnsi="宋体"/>
          <w:color w:val="000000" w:themeColor="text1"/>
          <w:sz w:val="24"/>
          <w:highlight w:val="none"/>
        </w:rPr>
        <w:t xml:space="preserve">8.磋商文件的澄清和修改</w:t>
      </w:r>
      <w:bookmarkEnd w:id="130"/>
      <w:r/>
      <w:bookmarkEnd w:id="131"/>
      <w:r/>
      <w:bookmarkEnd w:id="132"/>
      <w:r/>
      <w:bookmarkEnd w:id="133"/>
      <w:r/>
      <w:r/>
    </w:p>
    <w:p>
      <w:pPr>
        <w:ind w:firstLine="480"/>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8.1在响应文件提交截止时间前，代理公司可以对磋商文件进行澄清和修改,澄清或者修改的内容作为磋商文件的组成部分。澄清或者修改的内容可能影响响应文件编制的，代理公司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代理公司将顺延提交首次响应文件截止时间。</w:t>
      </w:r>
      <w:r/>
    </w:p>
    <w:p>
      <w:pPr>
        <w:ind w:firstLine="480"/>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8.2代理公司可以视采购项目的具体情况，组织供应商进行现场考察或召开磋商前答疑会，但不单独或分别组织只有一个供应商参加的现场考察和答疑会。</w:t>
      </w:r>
      <w:bookmarkEnd w:id="115"/>
      <w:r/>
      <w:bookmarkEnd w:id="116"/>
      <w:r/>
      <w:bookmarkEnd w:id="117"/>
      <w:r/>
      <w:bookmarkEnd w:id="118"/>
      <w:r/>
      <w:bookmarkEnd w:id="119"/>
      <w:r/>
      <w:bookmarkEnd w:id="120"/>
      <w:r/>
      <w:bookmarkEnd w:id="121"/>
      <w:r/>
      <w:bookmarkEnd w:id="122"/>
      <w:r/>
      <w:r/>
    </w:p>
    <w:p>
      <w:pPr>
        <w:ind w:firstLine="482"/>
        <w:spacing w:line="440" w:lineRule="exact"/>
        <w:tabs>
          <w:tab w:val="left" w:pos="900" w:leader="none"/>
        </w:tabs>
        <w:rPr>
          <w:rFonts w:ascii="宋体" w:hAnsi="宋体"/>
          <w:b/>
          <w:color w:val="000000" w:themeColor="text1"/>
          <w:sz w:val="24"/>
          <w:highlight w:val="none"/>
        </w:rPr>
        <w:outlineLvl w:val="1"/>
      </w:pPr>
      <w:r/>
      <w:bookmarkStart w:id="134" w:name="_Toc203032694"/>
      <w:r/>
      <w:bookmarkStart w:id="135" w:name="_Toc212826098"/>
      <w:r/>
      <w:bookmarkStart w:id="136" w:name="_Toc11785"/>
      <w:r>
        <w:rPr>
          <w:rFonts w:hint="eastAsia" w:ascii="宋体" w:hAnsi="宋体"/>
          <w:b/>
          <w:color w:val="000000" w:themeColor="text1"/>
          <w:sz w:val="24"/>
          <w:highlight w:val="none"/>
        </w:rPr>
        <w:t xml:space="preserve">三、响应文件的编制</w:t>
      </w:r>
      <w:bookmarkEnd w:id="123"/>
      <w:r/>
      <w:bookmarkEnd w:id="124"/>
      <w:r/>
      <w:bookmarkEnd w:id="125"/>
      <w:r/>
      <w:bookmarkEnd w:id="134"/>
      <w:r/>
      <w:bookmarkEnd w:id="135"/>
      <w:r/>
      <w:bookmarkEnd w:id="136"/>
      <w:r/>
      <w:r/>
    </w:p>
    <w:p>
      <w:pPr>
        <w:ind w:firstLine="480"/>
        <w:spacing w:line="440" w:lineRule="exact"/>
        <w:rPr>
          <w:rFonts w:ascii="宋体" w:hAnsi="宋体" w:cs="宋体"/>
          <w:color w:val="000000" w:themeColor="text1"/>
          <w:sz w:val="24"/>
          <w:highlight w:val="none"/>
        </w:rPr>
      </w:pPr>
      <w:r/>
      <w:bookmarkStart w:id="137" w:name="_Toc20823286"/>
      <w:r/>
      <w:bookmarkStart w:id="138" w:name="_Toc16938530"/>
      <w:r>
        <w:rPr>
          <w:rFonts w:hint="eastAsia" w:ascii="宋体" w:hAnsi="宋体" w:cs="宋体"/>
          <w:color w:val="000000" w:themeColor="text1"/>
          <w:sz w:val="24"/>
          <w:highlight w:val="none"/>
        </w:rPr>
        <w:t xml:space="preserve">9.响应文件的语言及度量衡单位</w:t>
      </w:r>
      <w:bookmarkEnd w:id="137"/>
      <w:r/>
      <w:bookmarkEnd w:id="138"/>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9.1供应商提交的响应文件以及供应商与代理公司就有关磋商的所有来往通知、函件和文件均应使用简体中文。</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9.2除技术性能另有规定外，响应文件所使用的度量衡单位，均须采用国家法定计量单位。</w:t>
      </w:r>
      <w:r/>
    </w:p>
    <w:p>
      <w:pPr>
        <w:ind w:firstLine="480"/>
        <w:spacing w:line="440" w:lineRule="exact"/>
        <w:rPr>
          <w:rFonts w:ascii="宋体" w:hAnsi="宋体" w:cs="宋体"/>
          <w:color w:val="000000" w:themeColor="text1"/>
          <w:sz w:val="24"/>
          <w:highlight w:val="none"/>
        </w:rPr>
      </w:pPr>
      <w:r/>
      <w:bookmarkStart w:id="139" w:name="_Toc16938531"/>
      <w:r/>
      <w:bookmarkStart w:id="140" w:name="_Toc20823287"/>
      <w:r>
        <w:rPr>
          <w:rFonts w:hint="eastAsia" w:ascii="宋体" w:hAnsi="宋体" w:cs="宋体"/>
          <w:color w:val="000000" w:themeColor="text1"/>
          <w:sz w:val="24"/>
          <w:highlight w:val="none"/>
        </w:rPr>
        <w:t xml:space="preserve">10.响应文件构成</w:t>
      </w:r>
      <w:bookmarkEnd w:id="139"/>
      <w:r/>
      <w:bookmarkEnd w:id="140"/>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10.1供应商编写的响应文件应包括资格证明文件、符合性证明文件、已标价的工程量清单报价表、技术要求响应及偏离表、商务要求响应及偏离表、其他证明文件、磋商响应函等部分。</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10.2如标书制作工具中格式和内容与</w:t>
      </w:r>
      <w:r>
        <w:rPr>
          <w:rFonts w:hint="eastAsia" w:ascii="宋体" w:hAnsi="宋体"/>
          <w:color w:val="000000" w:themeColor="text1"/>
          <w:sz w:val="24"/>
          <w:highlight w:val="none"/>
        </w:rPr>
        <w:t xml:space="preserve">“中国政府采购网”、“江苏政府采购网”、“盐城市政府采购网”</w:t>
      </w:r>
      <w:r>
        <w:rPr>
          <w:rFonts w:hint="eastAsia" w:ascii="宋体" w:hAnsi="宋体" w:cs="宋体"/>
          <w:color w:val="000000" w:themeColor="text1"/>
          <w:sz w:val="24"/>
          <w:highlight w:val="none"/>
        </w:rPr>
        <w:t xml:space="preserve">发布的磋商文件不一致，请以</w:t>
      </w:r>
      <w:r>
        <w:rPr>
          <w:rFonts w:hint="eastAsia" w:ascii="宋体" w:hAnsi="宋体"/>
          <w:color w:val="000000" w:themeColor="text1"/>
          <w:sz w:val="24"/>
          <w:highlight w:val="none"/>
        </w:rPr>
        <w:t xml:space="preserve">“中国政府采购网”、“江苏政府采购网”、“盐城市政府采购网”</w:t>
      </w:r>
      <w:r>
        <w:rPr>
          <w:rFonts w:hint="eastAsia" w:ascii="宋体" w:hAnsi="宋体" w:cs="宋体"/>
          <w:color w:val="000000" w:themeColor="text1"/>
          <w:sz w:val="24"/>
          <w:highlight w:val="none"/>
        </w:rPr>
        <w:t xml:space="preserve">发布的磋商文件为准。</w:t>
      </w:r>
      <w:r/>
    </w:p>
    <w:p>
      <w:pPr>
        <w:ind w:firstLine="480"/>
        <w:spacing w:line="440" w:lineRule="exact"/>
        <w:rPr>
          <w:rFonts w:ascii="宋体" w:hAnsi="宋体" w:cs="宋体"/>
          <w:color w:val="000000" w:themeColor="text1"/>
          <w:sz w:val="24"/>
          <w:highlight w:val="none"/>
        </w:rPr>
      </w:pPr>
      <w:r/>
      <w:bookmarkStart w:id="141" w:name="_Toc14577355"/>
      <w:r/>
      <w:bookmarkStart w:id="142" w:name="_Toc14577357"/>
      <w:r/>
      <w:bookmarkStart w:id="143" w:name="_Toc49090507"/>
      <w:r/>
      <w:bookmarkStart w:id="144" w:name="_Toc513029219"/>
      <w:r/>
      <w:bookmarkStart w:id="145" w:name="_Toc513029216"/>
      <w:r/>
      <w:bookmarkStart w:id="146" w:name="_Toc14577354"/>
      <w:r/>
      <w:bookmarkStart w:id="147" w:name="_Toc49090509"/>
      <w:r/>
      <w:bookmarkStart w:id="148" w:name="_Toc49090508"/>
      <w:r>
        <w:rPr>
          <w:rFonts w:hint="eastAsia" w:ascii="宋体" w:hAnsi="宋体" w:cs="宋体"/>
          <w:color w:val="000000" w:themeColor="text1"/>
          <w:sz w:val="24"/>
          <w:highlight w:val="none"/>
        </w:rPr>
        <w:t xml:space="preserve">11.证明磋商响应标的符合磋商文件规定的文件</w:t>
      </w:r>
      <w:bookmarkEnd w:id="141"/>
      <w:r/>
      <w:bookmarkEnd w:id="142"/>
      <w:r/>
      <w:bookmarkEnd w:id="143"/>
      <w:r/>
      <w:bookmarkEnd w:id="144"/>
      <w:r/>
      <w:bookmarkEnd w:id="145"/>
      <w:r/>
      <w:bookmarkEnd w:id="146"/>
      <w:r/>
      <w:bookmarkEnd w:id="147"/>
      <w:r/>
      <w:bookmarkEnd w:id="148"/>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11.1供应商应按照磋商文件要求提交证明文件，证明其及磋商响应标的符合磋商文件规定。</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11.2磋商文件对证明文件无明确形式要求的，证明文件可以以文字资料、图纸和数据等形式提交。</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12.已标价的工程量清单报价表</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12.1供应商应按照磋商文件规定格式填报工程量清单报价表。</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12.2磋商货币。响应文件中的单价和总价无特殊规定的采用人民币报价，以元为单位标注。磋商文件中另有规定的按规定执行。</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13、技术要求响应及偏离表、商务要求响应及偏离表</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13.1供应商需对磋商文件中的技术要求与商务要求逐项作出响应或偏离，并说明原因。</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13.2供应商可在响应文件中提供认为需要的其他技术文件或说明。</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14.服务承诺、培训计划、人员安排及其他</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14.1供应商需根据磋商文件要求提供有关售后服务的管理制度，售后服务机构的分布情况，售后服务人员的数量、素质、技术水平及售后服务的反应能力等。</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14.2供应商需根据磋商文件要求提供培训计划。</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14.3供应商需根据磋商文件要求提供磋商响应标的的主要组成部分、功能设计、实现思路及关键技术等。</w:t>
      </w:r>
      <w:r/>
    </w:p>
    <w:p>
      <w:pPr>
        <w:ind w:firstLine="480"/>
        <w:spacing w:line="440" w:lineRule="exact"/>
        <w:rPr>
          <w:rFonts w:ascii="宋体" w:hAnsi="宋体" w:cs="宋体"/>
          <w:color w:val="000000" w:themeColor="text1"/>
          <w:sz w:val="24"/>
          <w:highlight w:val="none"/>
        </w:rPr>
      </w:pPr>
      <w:r/>
      <w:bookmarkStart w:id="149" w:name="_Toc14577359"/>
      <w:r/>
      <w:bookmarkStart w:id="150" w:name="_Toc49090510"/>
      <w:r>
        <w:rPr>
          <w:rFonts w:hint="eastAsia" w:ascii="宋体" w:hAnsi="宋体" w:cs="宋体"/>
          <w:color w:val="000000" w:themeColor="text1"/>
          <w:sz w:val="24"/>
          <w:highlight w:val="none"/>
        </w:rPr>
        <w:t xml:space="preserve">15.磋商响应函</w:t>
      </w:r>
      <w:bookmarkEnd w:id="149"/>
      <w:r/>
      <w:bookmarkEnd w:id="150"/>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15.1供应商应按照磋商文件中提供的格式完整、正确填写磋商响应函。</w:t>
      </w:r>
      <w:r/>
    </w:p>
    <w:p>
      <w:pPr>
        <w:ind w:firstLine="480"/>
        <w:spacing w:line="440" w:lineRule="exact"/>
        <w:rPr>
          <w:rFonts w:ascii="宋体" w:hAnsi="宋体" w:cs="宋体"/>
          <w:color w:val="000000" w:themeColor="text1"/>
          <w:sz w:val="24"/>
          <w:highlight w:val="none"/>
        </w:rPr>
      </w:pPr>
      <w:r/>
      <w:bookmarkStart w:id="151" w:name="_Toc49090511"/>
      <w:r/>
      <w:bookmarkStart w:id="152" w:name="_Toc14577360"/>
      <w:r>
        <w:rPr>
          <w:rFonts w:hint="eastAsia" w:ascii="宋体" w:hAnsi="宋体" w:cs="宋体"/>
          <w:color w:val="000000" w:themeColor="text1"/>
          <w:sz w:val="24"/>
          <w:highlight w:val="none"/>
        </w:rPr>
        <w:t xml:space="preserve">16.磋商有效期</w:t>
      </w:r>
      <w:bookmarkEnd w:id="151"/>
      <w:r/>
      <w:bookmarkEnd w:id="152"/>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16.1磋商有效期为代理公司规定的提交响应文件截止之日后九十（90）天。磋商有效期比规定短的将被视为非实质性响应磋商文件而予以拒绝。</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17.磋商有效期的延长</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ind w:firstLine="482"/>
        <w:spacing w:line="440" w:lineRule="exact"/>
        <w:tabs>
          <w:tab w:val="left" w:pos="900" w:leader="none"/>
        </w:tabs>
        <w:rPr>
          <w:rFonts w:ascii="宋体" w:hAnsi="宋体"/>
          <w:b/>
          <w:color w:val="000000" w:themeColor="text1"/>
          <w:sz w:val="24"/>
          <w:highlight w:val="none"/>
        </w:rPr>
        <w:outlineLvl w:val="1"/>
      </w:pPr>
      <w:r/>
      <w:bookmarkStart w:id="153" w:name="_Toc16938540"/>
      <w:r/>
      <w:bookmarkStart w:id="154" w:name="_Toc120614217"/>
      <w:r/>
      <w:bookmarkStart w:id="155" w:name="_Toc212826099"/>
      <w:r/>
      <w:bookmarkStart w:id="156" w:name="_Toc20473"/>
      <w:r/>
      <w:bookmarkStart w:id="157" w:name="_Toc20823296"/>
      <w:r/>
      <w:bookmarkStart w:id="158" w:name="_Toc513029224"/>
      <w:r/>
      <w:bookmarkStart w:id="159" w:name="_Toc203032695"/>
      <w:r>
        <w:rPr>
          <w:rFonts w:hint="eastAsia" w:ascii="宋体" w:hAnsi="宋体"/>
          <w:b/>
          <w:color w:val="000000" w:themeColor="text1"/>
          <w:sz w:val="24"/>
          <w:highlight w:val="none"/>
        </w:rPr>
        <w:t xml:space="preserve">四、响应文件的递交</w:t>
      </w:r>
      <w:bookmarkEnd w:id="153"/>
      <w:r/>
      <w:bookmarkEnd w:id="154"/>
      <w:r/>
      <w:bookmarkEnd w:id="155"/>
      <w:r/>
      <w:bookmarkEnd w:id="156"/>
      <w:r/>
      <w:bookmarkEnd w:id="157"/>
      <w:r/>
      <w:bookmarkEnd w:id="158"/>
      <w:r/>
      <w:bookmarkEnd w:id="159"/>
      <w:r/>
      <w:r/>
    </w:p>
    <w:p>
      <w:pPr>
        <w:ind w:firstLine="480"/>
        <w:spacing w:line="440" w:lineRule="exact"/>
        <w:rPr>
          <w:rFonts w:ascii="宋体" w:hAnsi="宋体" w:cs="宋体"/>
          <w:color w:val="000000" w:themeColor="text1"/>
          <w:sz w:val="24"/>
          <w:highlight w:val="none"/>
        </w:rPr>
      </w:pPr>
      <w:r/>
      <w:bookmarkStart w:id="160" w:name="_Toc16938541"/>
      <w:r/>
      <w:bookmarkStart w:id="161" w:name="_Toc462564084"/>
      <w:r/>
      <w:bookmarkStart w:id="162" w:name="_Toc513029225"/>
      <w:r/>
      <w:bookmarkStart w:id="163" w:name="_Toc20823297"/>
      <w:r>
        <w:rPr>
          <w:rFonts w:hint="eastAsia" w:ascii="宋体" w:hAnsi="宋体" w:cs="宋体"/>
          <w:color w:val="000000" w:themeColor="text1"/>
          <w:sz w:val="24"/>
          <w:highlight w:val="none"/>
        </w:rPr>
        <w:t xml:space="preserve">18.电子磋商</w:t>
      </w:r>
      <w:bookmarkEnd w:id="160"/>
      <w:r/>
      <w:bookmarkEnd w:id="161"/>
      <w:r/>
      <w:bookmarkEnd w:id="162"/>
      <w:r/>
      <w:bookmarkEnd w:id="163"/>
      <w:r>
        <w:rPr>
          <w:rFonts w:hint="eastAsia" w:ascii="宋体" w:hAnsi="宋体" w:cs="宋体"/>
          <w:color w:val="000000" w:themeColor="text1"/>
          <w:sz w:val="24"/>
          <w:highlight w:val="none"/>
        </w:rPr>
        <w:t xml:space="preserve">响应文件的递交</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18.1供应商应当按照《操作手册》规定，在提交响应文件截止时间前制作并上传电子响应文件。</w:t>
      </w:r>
      <w:bookmarkStart w:id="164" w:name="_Toc16938542"/>
      <w:r/>
      <w:bookmarkEnd w:id="164"/>
      <w:r/>
      <w:bookmarkStart w:id="165" w:name="_Toc20823298"/>
      <w:r/>
      <w:bookmarkEnd w:id="165"/>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19、提交响应文件截止时间</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19.1供应商上传电子响应文件的时间不得迟于磋商公告中规定的提交响应文件截止时间。</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19.2代理公司可以按照规定，通过修改磋商文件酌情延长提交响应文件截止日期，在此情况下，供应商的所有权利和义务以及供应商受制的截止日期均应以延长后新的截止日期为准。</w:t>
      </w:r>
      <w:r/>
    </w:p>
    <w:p>
      <w:pPr>
        <w:ind w:firstLine="480"/>
        <w:spacing w:line="440" w:lineRule="exact"/>
        <w:rPr>
          <w:rFonts w:ascii="宋体" w:hAnsi="宋体" w:cs="宋体"/>
          <w:color w:val="000000" w:themeColor="text1"/>
          <w:sz w:val="24"/>
          <w:highlight w:val="none"/>
        </w:rPr>
      </w:pPr>
      <w:r/>
      <w:bookmarkStart w:id="166" w:name="_Toc513029227"/>
      <w:r/>
      <w:bookmarkStart w:id="167" w:name="_Toc16938543"/>
      <w:r/>
      <w:bookmarkStart w:id="168" w:name="_Toc20823299"/>
      <w:r>
        <w:rPr>
          <w:rFonts w:hint="eastAsia" w:ascii="宋体" w:hAnsi="宋体" w:cs="宋体"/>
          <w:color w:val="000000" w:themeColor="text1"/>
          <w:sz w:val="24"/>
          <w:highlight w:val="none"/>
        </w:rPr>
        <w:t xml:space="preserve">20.响应文件</w:t>
      </w:r>
      <w:bookmarkEnd w:id="166"/>
      <w:r/>
      <w:bookmarkEnd w:id="167"/>
      <w:r/>
      <w:bookmarkEnd w:id="168"/>
      <w:r>
        <w:rPr>
          <w:rFonts w:hint="eastAsia" w:ascii="宋体" w:hAnsi="宋体" w:cs="宋体"/>
          <w:color w:val="000000" w:themeColor="text1"/>
          <w:sz w:val="24"/>
          <w:highlight w:val="none"/>
        </w:rPr>
        <w:t xml:space="preserve">的拒收</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20.1代理公司拒绝接收在其规定的提交响应文件截止时间后上传的任何电子响应文件。</w:t>
      </w:r>
      <w:r/>
    </w:p>
    <w:p>
      <w:pPr>
        <w:ind w:firstLine="480"/>
        <w:spacing w:line="440" w:lineRule="exact"/>
        <w:rPr>
          <w:rFonts w:ascii="宋体" w:hAnsi="宋体" w:cs="宋体"/>
          <w:color w:val="000000" w:themeColor="text1"/>
          <w:sz w:val="24"/>
          <w:highlight w:val="none"/>
        </w:rPr>
      </w:pPr>
      <w:r/>
      <w:bookmarkStart w:id="169" w:name="_Toc20823300"/>
      <w:r/>
      <w:bookmarkStart w:id="170" w:name="_Toc16938544"/>
      <w:r/>
      <w:bookmarkStart w:id="171" w:name="_Toc513029228"/>
      <w:r>
        <w:rPr>
          <w:rFonts w:hint="eastAsia" w:ascii="宋体" w:hAnsi="宋体" w:cs="宋体"/>
          <w:color w:val="000000" w:themeColor="text1"/>
          <w:sz w:val="24"/>
          <w:highlight w:val="none"/>
        </w:rPr>
        <w:t xml:space="preserve">21.响应文件的撤回和修改</w:t>
      </w:r>
      <w:bookmarkEnd w:id="169"/>
      <w:r/>
      <w:bookmarkEnd w:id="170"/>
      <w:r/>
      <w:bookmarkEnd w:id="171"/>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21.1响应文件的撤回</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21.1.1 电子响应文件的撤回</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供应商可在提交响应文件截止时间前，撤回其电子响应文件，具体操作方法见《操作手册》。</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21.1.2供应商撤回电子响应文件，则认为其不再参与本项目磋商活动。</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21.2响应文件的修改</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供应商可在提交响应文件截止时间前，对其电子响应文件进行修改，具体操作方法见《操作手册》。</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21.3 在提交响应文件截止时间之后，供应商不得对其电子响应文件作任何修改。</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21.4在提交响应文件截止时间至磋商文件中规定的磋商有效期满之间的这段时间内，供应商不得撤回其响应文件。</w:t>
      </w:r>
      <w:r/>
    </w:p>
    <w:p>
      <w:pPr>
        <w:ind w:firstLine="482"/>
        <w:spacing w:line="440" w:lineRule="exact"/>
        <w:tabs>
          <w:tab w:val="left" w:pos="900" w:leader="none"/>
        </w:tabs>
        <w:rPr>
          <w:rFonts w:ascii="宋体" w:hAnsi="宋体"/>
          <w:b/>
          <w:color w:val="000000" w:themeColor="text1"/>
          <w:sz w:val="24"/>
          <w:highlight w:val="none"/>
        </w:rPr>
        <w:outlineLvl w:val="1"/>
      </w:pPr>
      <w:r/>
      <w:bookmarkStart w:id="172" w:name="_Toc16938545"/>
      <w:r/>
      <w:bookmarkStart w:id="173" w:name="_Toc212826100"/>
      <w:r/>
      <w:bookmarkStart w:id="174" w:name="_Toc203032696"/>
      <w:r/>
      <w:bookmarkStart w:id="175" w:name="_Toc20823301"/>
      <w:r/>
      <w:bookmarkStart w:id="176" w:name="_Toc120614218"/>
      <w:r/>
      <w:bookmarkStart w:id="177" w:name="_Toc9393"/>
      <w:r/>
      <w:bookmarkStart w:id="178" w:name="_Toc513029229"/>
      <w:r>
        <w:rPr>
          <w:rFonts w:hint="eastAsia" w:ascii="宋体" w:hAnsi="宋体"/>
          <w:b/>
          <w:color w:val="000000" w:themeColor="text1"/>
          <w:sz w:val="24"/>
          <w:highlight w:val="none"/>
        </w:rPr>
        <w:t xml:space="preserve">五、响应文件的解密与评审</w:t>
      </w:r>
      <w:bookmarkEnd w:id="172"/>
      <w:r/>
      <w:bookmarkEnd w:id="173"/>
      <w:r/>
      <w:bookmarkEnd w:id="174"/>
      <w:r/>
      <w:bookmarkEnd w:id="175"/>
      <w:r/>
      <w:bookmarkEnd w:id="176"/>
      <w:r/>
      <w:bookmarkEnd w:id="177"/>
      <w:r/>
      <w:bookmarkEnd w:id="178"/>
      <w:r/>
      <w:r/>
    </w:p>
    <w:p>
      <w:pPr>
        <w:ind w:firstLine="480"/>
        <w:spacing w:line="440" w:lineRule="exact"/>
        <w:rPr>
          <w:rFonts w:ascii="宋体" w:hAnsi="宋体" w:cs="宋体"/>
          <w:color w:val="000000" w:themeColor="text1"/>
          <w:sz w:val="24"/>
          <w:highlight w:val="none"/>
        </w:rPr>
      </w:pPr>
      <w:r/>
      <w:bookmarkStart w:id="179" w:name="_Toc513029230"/>
      <w:r/>
      <w:bookmarkStart w:id="180" w:name="_Toc20823302"/>
      <w:r/>
      <w:bookmarkStart w:id="181" w:name="_Toc16938546"/>
      <w:r>
        <w:rPr>
          <w:rFonts w:hint="eastAsia" w:ascii="宋体" w:hAnsi="宋体" w:cs="宋体"/>
          <w:color w:val="000000" w:themeColor="text1"/>
          <w:sz w:val="24"/>
          <w:highlight w:val="none"/>
        </w:rPr>
        <w:t xml:space="preserve">22</w:t>
      </w:r>
      <w:bookmarkEnd w:id="179"/>
      <w:r/>
      <w:bookmarkEnd w:id="180"/>
      <w:r/>
      <w:bookmarkEnd w:id="181"/>
      <w:r>
        <w:rPr>
          <w:rFonts w:hint="eastAsia" w:ascii="宋体" w:hAnsi="宋体" w:cs="宋体"/>
          <w:color w:val="000000" w:themeColor="text1"/>
          <w:sz w:val="24"/>
          <w:highlight w:val="none"/>
        </w:rPr>
        <w:t xml:space="preserve">.响应文件解密</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22.1供应商应当按照《操作手册》规定，在苏采云系统规定的时间内对磋商响应文件进行解密。</w:t>
      </w:r>
      <w:r/>
    </w:p>
    <w:p>
      <w:pPr>
        <w:ind w:firstLine="480"/>
        <w:spacing w:line="440" w:lineRule="exact"/>
        <w:rPr>
          <w:rFonts w:ascii="宋体" w:hAnsi="宋体" w:cs="宋体"/>
          <w:color w:val="000000" w:themeColor="text1"/>
          <w:sz w:val="24"/>
          <w:highlight w:val="none"/>
        </w:rPr>
      </w:pPr>
      <w:r/>
      <w:bookmarkStart w:id="182" w:name="_Toc513029231"/>
      <w:r/>
      <w:bookmarkStart w:id="183" w:name="_Toc16938547"/>
      <w:r/>
      <w:bookmarkStart w:id="184" w:name="_Toc20823303"/>
      <w:r>
        <w:rPr>
          <w:rFonts w:hint="eastAsia" w:ascii="宋体" w:hAnsi="宋体" w:cs="宋体"/>
          <w:color w:val="000000" w:themeColor="text1"/>
          <w:sz w:val="24"/>
          <w:highlight w:val="none"/>
        </w:rPr>
        <w:t xml:space="preserve">23.磋商小组</w:t>
      </w:r>
      <w:bookmarkEnd w:id="182"/>
      <w:r/>
      <w:bookmarkEnd w:id="183"/>
      <w:r/>
      <w:bookmarkEnd w:id="184"/>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23.1</w:t>
      </w:r>
      <w:bookmarkStart w:id="185" w:name="_Hlk212825826"/>
      <w:r>
        <w:rPr>
          <w:rFonts w:hint="eastAsia" w:ascii="宋体" w:hAnsi="宋体" w:cs="宋体"/>
          <w:color w:val="000000" w:themeColor="text1"/>
          <w:sz w:val="24"/>
          <w:highlight w:val="none"/>
        </w:rPr>
        <w:t xml:space="preserve">代理公司将组织磋商小组对响应文件进行评审。磋商小组由有关技术、经济等方面的专家共3人或以上单数组成，且人员构成符合政府采购有关规定，专家确定方式：随机抽取。</w:t>
      </w:r>
      <w:bookmarkEnd w:id="185"/>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23.2磋商小组独立工作，负责评审所有响应文件并确定成交候选人。</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24.评审过程的保密与公正</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24.1磋商小组、采购人和代理公司工作人员、相关监督人员等与评审工作有关的人员，对评审情况以及在评审过程中获悉的国家秘密、商业秘密负有保密责任。</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24.2在评审过程中，供应商不得以任何行为影响磋商评审过程，否则其响应文件将被作为无效响应文件。</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24.3在项目评审期间，代理公司将设专门人员与供应商联系。</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24.4代理公司和磋商小组不向未成交的供应商解释未成交原因，也不公布评审过程中的相关细节。</w:t>
      </w:r>
      <w:r/>
    </w:p>
    <w:p>
      <w:pPr>
        <w:ind w:firstLine="480"/>
        <w:spacing w:line="440" w:lineRule="exact"/>
        <w:rPr>
          <w:rFonts w:ascii="宋体" w:hAnsi="宋体" w:cs="宋体"/>
          <w:color w:val="000000" w:themeColor="text1"/>
          <w:sz w:val="24"/>
          <w:highlight w:val="none"/>
        </w:rPr>
      </w:pPr>
      <w:r/>
      <w:bookmarkStart w:id="186" w:name="_Toc513029232"/>
      <w:r/>
      <w:bookmarkStart w:id="187" w:name="_Toc20823304"/>
      <w:r/>
      <w:bookmarkStart w:id="188" w:name="_Toc16938548"/>
      <w:r>
        <w:rPr>
          <w:rFonts w:hint="eastAsia" w:ascii="宋体" w:hAnsi="宋体" w:cs="宋体"/>
          <w:color w:val="000000" w:themeColor="text1"/>
          <w:sz w:val="24"/>
          <w:highlight w:val="none"/>
        </w:rPr>
        <w:t xml:space="preserve">25.评审过程中的澄清</w:t>
      </w:r>
      <w:bookmarkEnd w:id="186"/>
      <w:r/>
      <w:bookmarkEnd w:id="187"/>
      <w:r/>
      <w:bookmarkEnd w:id="188"/>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磋商小组并非对每个供应商都作澄清要求。</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25.3接到磋商小组澄清、说明和更正要求的供应商如未按规定做出澄清、说明和更正，其风险由供应商自行承担。</w:t>
      </w:r>
      <w:r/>
    </w:p>
    <w:p>
      <w:pPr>
        <w:ind w:firstLine="480"/>
        <w:spacing w:line="440" w:lineRule="exact"/>
        <w:rPr>
          <w:rFonts w:ascii="宋体" w:hAnsi="宋体" w:cs="宋体"/>
          <w:color w:val="000000" w:themeColor="text1"/>
          <w:sz w:val="24"/>
          <w:highlight w:val="none"/>
        </w:rPr>
      </w:pPr>
      <w:r/>
      <w:bookmarkStart w:id="189" w:name="_Toc20823305"/>
      <w:r/>
      <w:bookmarkStart w:id="190" w:name="_Toc513029233"/>
      <w:r/>
      <w:bookmarkStart w:id="191" w:name="_Toc16938549"/>
      <w:r>
        <w:rPr>
          <w:rFonts w:hint="eastAsia" w:ascii="宋体" w:hAnsi="宋体" w:cs="宋体"/>
          <w:color w:val="000000" w:themeColor="text1"/>
          <w:sz w:val="24"/>
          <w:highlight w:val="none"/>
        </w:rPr>
        <w:t xml:space="preserve">26.对响应文件的审</w:t>
      </w:r>
      <w:bookmarkEnd w:id="189"/>
      <w:r/>
      <w:bookmarkEnd w:id="190"/>
      <w:r/>
      <w:bookmarkEnd w:id="191"/>
      <w:r>
        <w:rPr>
          <w:rFonts w:hint="eastAsia" w:ascii="宋体" w:hAnsi="宋体" w:cs="宋体"/>
          <w:color w:val="000000" w:themeColor="text1"/>
          <w:sz w:val="24"/>
          <w:highlight w:val="none"/>
        </w:rPr>
        <w:t xml:space="preserve">查</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26.1响应文件审查分为资格审查和符合性审查。</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26.3未实质性响应磋商文件的情形</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26.3.1供应商在苏采云系统规定的时间内未成功解密电子响应文件的。</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26.3.2供应商未按照磋商文件要求上传电子响应文件的。</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26.3.3同一供应商提交两个（含两个）以上不同的响应文件或者最后报价的。</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26.3.4供应商不具备磋商文件中规定资格要求的。</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26.3.5供应商的最后报价超过了采购最高限价。</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26.3.6不符合磋商文件中规定的实质性要求和条件的。</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26.3.8响应文件含有采购人不能接受的附加条件的。</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26.3.10响应文件未按照磋商文件要求加盖CA电子公章的。</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26.4未实质性响应磋商文件的响应文件按无效响应处理。</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26.5如果响应文件实质上没有响应磋商文件的要求，磋商小组将予以拒绝，供应商不得通过修改或撤销不合要求的偏离或保留而使其成为实质性响应的文件。</w:t>
      </w:r>
      <w:r/>
    </w:p>
    <w:p>
      <w:pPr>
        <w:ind w:firstLine="480"/>
        <w:spacing w:line="440" w:lineRule="exact"/>
        <w:rPr>
          <w:rFonts w:ascii="宋体" w:hAnsi="宋体" w:cs="宋体"/>
          <w:color w:val="000000" w:themeColor="text1"/>
          <w:sz w:val="24"/>
          <w:highlight w:val="none"/>
        </w:rPr>
      </w:pPr>
      <w:r/>
      <w:bookmarkStart w:id="192" w:name="_Toc20823306"/>
      <w:r/>
      <w:bookmarkStart w:id="193" w:name="_Toc16938550"/>
      <w:r/>
      <w:bookmarkStart w:id="194" w:name="_Toc513029234"/>
      <w:r>
        <w:rPr>
          <w:rFonts w:hint="eastAsia" w:ascii="宋体" w:hAnsi="宋体" w:cs="宋体"/>
          <w:color w:val="000000" w:themeColor="text1"/>
          <w:sz w:val="24"/>
          <w:highlight w:val="none"/>
        </w:rPr>
        <w:t xml:space="preserve">26.6供应商在项目评审全过程中应保持通讯畅通，并安排专人与代理公司及磋商小组联系。</w:t>
      </w:r>
      <w:bookmarkEnd w:id="192"/>
      <w:r/>
      <w:bookmarkEnd w:id="193"/>
      <w:r/>
      <w:bookmarkEnd w:id="194"/>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27.磋商程序及评审方法和评审标准</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27.1磋商程序</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rPr>
          <w:rFonts w:ascii="宋体" w:hAnsi="宋体" w:cs="宋体"/>
          <w:color w:val="000000" w:themeColor="text1"/>
          <w:sz w:val="24"/>
          <w:highlight w:val="none"/>
        </w:rPr>
      </w:pPr>
      <w:r>
        <w:rPr>
          <w:rFonts w:hint="eastAsia" w:ascii="宋体" w:hAnsi="宋体"/>
          <w:b/>
          <w:bCs/>
          <w:color w:val="000000" w:themeColor="text1"/>
          <w:sz w:val="24"/>
          <w:highlight w:val="none"/>
        </w:rPr>
        <w:t xml:space="preserve">最后报价是供应商响应文件的有效组成部分，本项目的二轮报价即为最后报价。</w:t>
      </w:r>
      <w:r>
        <w:rPr>
          <w:rFonts w:hint="eastAsia" w:ascii="宋体" w:hAnsi="宋体" w:cs="宋体"/>
          <w:color w:val="000000" w:themeColor="text1"/>
          <w:sz w:val="24"/>
          <w:highlight w:val="none"/>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27.2各供应商最后报价结束后,磋商小组应强化政府采购异常低价审查。</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27.2.1审查的情形和具体要求</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评审过程中出现下列情形之一的，磋商小组应当启动异常低价投标（响应）审查程序：</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1.投标（响应）报价低于采购项目预算50%的，即投标（响应）报价&lt;采购项目预算×50%；</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2.投标（响应）报价低于采购项目最高限价45%的，即投标（响应）报价&lt;采购项目最高限价×45%；</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3.磋商小组认定的供应商报价过低、有可能影响产品质量或者不能诚信履约的其他情形。</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27.2.2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27.3评审方法和评审标准</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27.3.1评审方法。经磋商确定最终采购需求和提交最后报价的供应商后，由磋商小组采用综合评分法对提交最后报价的供应商的响应文件和最后报价进行综合评分。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27.3.2评审标准</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见本磋商文件第五章规定。</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27.4采购活动终止的情况</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出现下列情形之一的，本次竞争性磋商采购活动将被终止：</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27.4.1因情况变化，不再符合规定的竞争性磋商采购方式适用情形的。</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27.4.2出现影响采购公正的违法、违规行为的。</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27.4.3除本磋商文件第二章第27.1.2条第三款规定的情形外，在采购过程中符合要求的供应商或者最后报价未超过采购预算的供应商不足3家的。</w:t>
      </w:r>
      <w:r/>
    </w:p>
    <w:p>
      <w:pPr>
        <w:ind w:firstLine="480"/>
        <w:spacing w:line="440" w:lineRule="exact"/>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27.4.4在苏采云系统规定时间内成功解密电子响应文件的供应商不足3家的。</w:t>
      </w:r>
      <w:r/>
    </w:p>
    <w:p>
      <w:pPr>
        <w:ind w:firstLine="482"/>
        <w:spacing w:line="440" w:lineRule="exact"/>
        <w:tabs>
          <w:tab w:val="left" w:pos="900" w:leader="none"/>
        </w:tabs>
        <w:rPr>
          <w:rFonts w:ascii="宋体" w:hAnsi="宋体"/>
          <w:b/>
          <w:color w:val="000000" w:themeColor="text1"/>
          <w:sz w:val="24"/>
          <w:highlight w:val="none"/>
        </w:rPr>
        <w:outlineLvl w:val="1"/>
      </w:pPr>
      <w:r/>
      <w:bookmarkStart w:id="195" w:name="_Toc4572"/>
      <w:r/>
      <w:bookmarkStart w:id="196" w:name="_Toc212826101"/>
      <w:r/>
      <w:bookmarkStart w:id="197" w:name="_Toc203032697"/>
      <w:r>
        <w:rPr>
          <w:rFonts w:hint="eastAsia" w:ascii="宋体" w:hAnsi="宋体"/>
          <w:b/>
          <w:color w:val="000000" w:themeColor="text1"/>
          <w:sz w:val="24"/>
          <w:highlight w:val="none"/>
        </w:rPr>
        <w:t xml:space="preserve">六</w:t>
      </w:r>
      <w:r>
        <w:rPr>
          <w:rFonts w:ascii="宋体" w:hAnsi="宋体"/>
          <w:b/>
          <w:color w:val="000000" w:themeColor="text1"/>
          <w:sz w:val="24"/>
          <w:highlight w:val="none"/>
        </w:rPr>
        <w:t xml:space="preserve">、成交</w:t>
      </w:r>
      <w:bookmarkEnd w:id="195"/>
      <w:r/>
      <w:bookmarkEnd w:id="196"/>
      <w:r/>
      <w:bookmarkEnd w:id="197"/>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28.确定成交单位</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28.1磋商小组根据综合评分情况，按照评审得分由高到低顺序推荐1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评审得分相同的，由采购人或者采购人委托磋商小组按照磋商文件规定的方式确定一个供应商获得成交供应商推荐资格，磋商文件未规定的采取随机抽取方式确定。</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28.2采购人从评审报告提出的成交候选供应商中，按照排序由高到低的原则确定成交供应商。采购人确定成交供应商后，代理公司将在“中国政府采购网”、“江苏政府采购网”、“盐城市政府采购网”发布成交结果公告，公告期限为1个工作日。</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28.3若有充分证据证明，成交供应商出现下列情况之一的，一经查实，将被取消成交资格：</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28.3.1提供虚假材料谋取成交的。</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28.3.2与评审专家、采购人、其他供应商或者代理公司工作人员恶意串通的。</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28.3.3向评审专家、采购人或代理公司工作人员行贿或者提供其他不正当利益的。</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28.3.4恶意竞争，最后报价明显低于其自身合理成本且又无法提供证明的。</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28.3.5不满足本磋商文件规定的实质性要求，但在评审过程中又未被磋商小组发现的。</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28.3.6成交后无正当理由拒不与采购人签订政府采购合同或者未按照磋商文件确定的事项签订政府采购合同的。</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28.3.7将政府采购合同转包的。</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29.质疑处理</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29.1提出质疑的供应商应当是参与所质疑项目采购活动的供应商。潜在供应商依法获取其可质疑的</w:t>
      </w:r>
      <w:r>
        <w:rPr>
          <w:rFonts w:hint="eastAsia" w:ascii="宋体" w:hAnsi="宋体" w:cs="宋体"/>
          <w:color w:val="000000" w:themeColor="text1"/>
          <w:sz w:val="24"/>
          <w:highlight w:val="none"/>
          <w:lang w:eastAsia="zh-CN"/>
        </w:rPr>
        <w:t xml:space="preserve">磋商文件</w:t>
      </w:r>
      <w:r>
        <w:rPr>
          <w:rFonts w:hint="eastAsia" w:ascii="宋体" w:hAnsi="宋体" w:cs="宋体"/>
          <w:color w:val="000000" w:themeColor="text1"/>
          <w:sz w:val="24"/>
          <w:highlight w:val="none"/>
        </w:rPr>
        <w:t xml:space="preserve">的，可以对</w:t>
      </w:r>
      <w:r>
        <w:rPr>
          <w:rFonts w:hint="eastAsia" w:ascii="宋体" w:hAnsi="宋体" w:cs="宋体"/>
          <w:color w:val="000000" w:themeColor="text1"/>
          <w:sz w:val="24"/>
          <w:highlight w:val="none"/>
          <w:lang w:eastAsia="zh-CN"/>
        </w:rPr>
        <w:t xml:space="preserve">磋商文件</w:t>
      </w:r>
      <w:r>
        <w:rPr>
          <w:rFonts w:hint="eastAsia" w:ascii="宋体" w:hAnsi="宋体" w:cs="宋体"/>
          <w:color w:val="000000" w:themeColor="text1"/>
          <w:sz w:val="24"/>
          <w:highlight w:val="none"/>
        </w:rPr>
        <w:t xml:space="preserve">提出质疑。</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29.2供应商认为</w:t>
      </w:r>
      <w:r>
        <w:rPr>
          <w:rFonts w:hint="eastAsia" w:ascii="宋体" w:hAnsi="宋体" w:cs="宋体"/>
          <w:color w:val="000000" w:themeColor="text1"/>
          <w:sz w:val="24"/>
          <w:highlight w:val="none"/>
          <w:lang w:eastAsia="zh-CN"/>
        </w:rPr>
        <w:t xml:space="preserve">磋商文件</w:t>
      </w:r>
      <w:r>
        <w:rPr>
          <w:rFonts w:hint="eastAsia" w:ascii="宋体" w:hAnsi="宋体" w:cs="宋体"/>
          <w:color w:val="000000" w:themeColor="text1"/>
          <w:sz w:val="24"/>
          <w:highlight w:val="none"/>
        </w:rPr>
        <w:t xml:space="preserve">、采购过程和采购结果使自己的权益受到损害的，可以在知道或应知其权益受到损害之日起七个工作日内，以书面形式根据下述29.4条款的规定向代理公司或采购人提出质疑。上述应知其权益受到损害之日，是指：</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29.2.1对可以质疑的</w:t>
      </w:r>
      <w:r>
        <w:rPr>
          <w:rFonts w:hint="eastAsia" w:ascii="宋体" w:hAnsi="宋体" w:cs="宋体"/>
          <w:color w:val="000000" w:themeColor="text1"/>
          <w:sz w:val="24"/>
          <w:highlight w:val="none"/>
          <w:lang w:eastAsia="zh-CN"/>
        </w:rPr>
        <w:t xml:space="preserve">磋商文件</w:t>
      </w:r>
      <w:r>
        <w:rPr>
          <w:rFonts w:hint="eastAsia" w:ascii="宋体" w:hAnsi="宋体" w:cs="宋体"/>
          <w:color w:val="000000" w:themeColor="text1"/>
          <w:sz w:val="24"/>
          <w:highlight w:val="none"/>
        </w:rPr>
        <w:t xml:space="preserve">提出质疑的，为收到</w:t>
      </w:r>
      <w:r>
        <w:rPr>
          <w:rFonts w:hint="eastAsia" w:ascii="宋体" w:hAnsi="宋体" w:cs="宋体"/>
          <w:color w:val="000000" w:themeColor="text1"/>
          <w:sz w:val="24"/>
          <w:highlight w:val="none"/>
          <w:lang w:eastAsia="zh-CN"/>
        </w:rPr>
        <w:t xml:space="preserve">磋商文件</w:t>
      </w:r>
      <w:r>
        <w:rPr>
          <w:rFonts w:hint="eastAsia" w:ascii="宋体" w:hAnsi="宋体" w:cs="宋体"/>
          <w:color w:val="000000" w:themeColor="text1"/>
          <w:sz w:val="24"/>
          <w:highlight w:val="none"/>
        </w:rPr>
        <w:t xml:space="preserve">之日或者</w:t>
      </w:r>
      <w:r>
        <w:rPr>
          <w:rFonts w:hint="eastAsia" w:ascii="宋体" w:hAnsi="宋体" w:cs="宋体"/>
          <w:color w:val="000000" w:themeColor="text1"/>
          <w:sz w:val="24"/>
          <w:highlight w:val="none"/>
          <w:lang w:eastAsia="zh-CN"/>
        </w:rPr>
        <w:t xml:space="preserve">磋商文件</w:t>
      </w:r>
      <w:r>
        <w:rPr>
          <w:rFonts w:hint="eastAsia" w:ascii="宋体" w:hAnsi="宋体" w:cs="宋体"/>
          <w:color w:val="000000" w:themeColor="text1"/>
          <w:sz w:val="24"/>
          <w:highlight w:val="none"/>
        </w:rPr>
        <w:t xml:space="preserve">公告期限届满之日。</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29.2.2对采购过程提出质疑的，为各采购程序环节结束之日。</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29.2.3对成交结果提出质疑的，为成交结果公告期限届满之日。</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供应商应当在法定质疑期内一次性提出针对同一采购程序环节的质疑。供应商如在法定期限内对同一采购程序环节提出多次质疑的，代理公司、采购人将只对供应商第一次质疑作出答复。</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29.4供应商（含潜在供应商）对采购方式、采购需求、供应商资格条件、评审方法与评审标准、合同文本的询问、质疑请向采购人提出，由采购人负责答复。供应商对其他事项的询问、质疑请向代理公司提出，由代理公司负责答复。</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采购人及代理公司只接收以纸质原件形式送达的质疑,建议供应商尽量通过邮寄方式提交质疑。</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29.5 以下情形的质疑不予受理</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29.5.1内容不符合《政府采购质疑和投诉办法》第十二条规定的质疑。</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29.5.2出政府采购法定期限的质疑。</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29.5.3未参加磋商活动的供应商或在磋商活动中自身权益未受到损害的供应商所提出的质疑。</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29.5.4供应商组成联合体参加磋商，联合体中任何一方或多方未按要求签字、盖章、加盖公章的质疑。</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29.6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30.成交通知书</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30.1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30.2成交通知书将是合同的一个组成部分。对采购人和成交供应商均具有法律效力。成交通知书发出后，成交供应商放弃成交项目的，应当依法承担法律责任。</w:t>
      </w:r>
      <w:r/>
    </w:p>
    <w:p>
      <w:pPr>
        <w:ind w:firstLine="482"/>
        <w:spacing w:line="440" w:lineRule="exact"/>
        <w:tabs>
          <w:tab w:val="left" w:pos="900" w:leader="none"/>
        </w:tabs>
        <w:rPr>
          <w:rFonts w:ascii="宋体" w:hAnsi="宋体"/>
          <w:b/>
          <w:color w:val="000000" w:themeColor="text1"/>
          <w:sz w:val="24"/>
          <w:highlight w:val="none"/>
        </w:rPr>
        <w:outlineLvl w:val="1"/>
      </w:pPr>
      <w:r/>
      <w:bookmarkStart w:id="198" w:name="_Toc203032698"/>
      <w:r/>
      <w:bookmarkStart w:id="199" w:name="_Toc16938552"/>
      <w:r/>
      <w:bookmarkStart w:id="200" w:name="_Toc120614220"/>
      <w:r/>
      <w:bookmarkStart w:id="201" w:name="_Toc212826102"/>
      <w:r/>
      <w:bookmarkStart w:id="202" w:name="_Toc30613"/>
      <w:r/>
      <w:bookmarkStart w:id="203" w:name="_Toc20823308"/>
      <w:r/>
      <w:bookmarkStart w:id="204" w:name="_Toc513029236"/>
      <w:r>
        <w:rPr>
          <w:rFonts w:hint="eastAsia" w:ascii="宋体" w:hAnsi="宋体"/>
          <w:b/>
          <w:color w:val="000000" w:themeColor="text1"/>
          <w:sz w:val="24"/>
          <w:highlight w:val="none"/>
        </w:rPr>
        <w:t xml:space="preserve">七、授予合同</w:t>
      </w:r>
      <w:bookmarkEnd w:id="198"/>
      <w:r/>
      <w:bookmarkEnd w:id="199"/>
      <w:r/>
      <w:bookmarkEnd w:id="200"/>
      <w:r/>
      <w:bookmarkEnd w:id="201"/>
      <w:r/>
      <w:bookmarkEnd w:id="202"/>
      <w:r/>
      <w:bookmarkEnd w:id="203"/>
      <w:r/>
      <w:bookmarkEnd w:id="204"/>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31.</w:t>
      </w:r>
      <w:r>
        <w:rPr>
          <w:rFonts w:ascii="宋体" w:hAnsi="宋体" w:cs="宋体"/>
          <w:color w:val="000000" w:themeColor="text1"/>
          <w:sz w:val="24"/>
          <w:highlight w:val="none"/>
        </w:rPr>
        <w:t xml:space="preserve">签订合同</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31.1签订合同</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31.l成交供应商应当在成交通知书发出之日起三十日内，按照磋商文件确定的事项与采购人签订政府采购合同。</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31.2磋商文件、成交供应商的响应文件及磋商过程中有关澄清、承诺文件均应作为合同附件。</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31.3签订合同后，</w:t>
      </w:r>
      <w:r>
        <w:rPr>
          <w:rFonts w:hint="eastAsia" w:ascii="宋体" w:hAnsi="宋体" w:cs="宋体"/>
          <w:i/>
          <w:iCs/>
          <w:color w:val="000000" w:themeColor="text1"/>
          <w:sz w:val="24"/>
          <w:highlight w:val="none"/>
          <w:u w:val="single"/>
        </w:rPr>
        <w:t xml:space="preserve">成交供应商不得将合同标的进行转包</w:t>
      </w:r>
      <w:r>
        <w:rPr>
          <w:rFonts w:hint="eastAsia" w:ascii="宋体" w:hAnsi="宋体" w:cs="宋体"/>
          <w:color w:val="000000" w:themeColor="text1"/>
          <w:sz w:val="24"/>
          <w:highlight w:val="none"/>
        </w:rPr>
        <w:t xml:space="preserve">。未经采购人同意，成交供应商也不得采用分包形式履行合同,否则采购人有权终止合同。转包或分包造成采购人损失的，成交供应商应承担相应赔偿责</w:t>
      </w:r>
      <w:r>
        <w:rPr>
          <w:rFonts w:ascii="宋体" w:hAnsi="宋体" w:cs="宋体"/>
          <w:color w:val="000000" w:themeColor="text1"/>
          <w:sz w:val="24"/>
          <w:highlight w:val="none"/>
        </w:rPr>
        <w:t xml:space="preserve">任。</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32.标的物的追加</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bookmarkStart w:id="205" w:name="_Toc16938558"/>
      <w:r/>
      <w:bookmarkStart w:id="206" w:name="_Toc513029242"/>
      <w:r/>
      <w:bookmarkStart w:id="207" w:name="_Toc20823314"/>
      <w:r/>
      <w:bookmarkStart w:id="208" w:name="_Toc479757207"/>
      <w:r/>
      <w:bookmarkStart w:id="209" w:name="_Toc120614221"/>
      <w:r>
        <w:rPr>
          <w:rFonts w:hint="eastAsia" w:ascii="宋体" w:hAnsi="宋体" w:cs="宋体"/>
          <w:color w:val="000000" w:themeColor="text1"/>
          <w:sz w:val="24"/>
          <w:highlight w:val="none"/>
        </w:rPr>
        <w:t xml:space="preserve">33.</w:t>
      </w:r>
      <w:bookmarkEnd w:id="205"/>
      <w:r/>
      <w:bookmarkEnd w:id="206"/>
      <w:r/>
      <w:bookmarkEnd w:id="207"/>
      <w:r/>
      <w:bookmarkEnd w:id="208"/>
      <w:r/>
      <w:bookmarkEnd w:id="209"/>
      <w:r>
        <w:rPr>
          <w:rFonts w:hint="eastAsia" w:ascii="宋体" w:hAnsi="宋体" w:cs="宋体"/>
          <w:color w:val="000000" w:themeColor="text1"/>
          <w:sz w:val="24"/>
          <w:highlight w:val="none"/>
        </w:rPr>
        <w:t xml:space="preserve">政府采购线上合同信用融资政策</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33.1根据《转发江苏省财政厅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33.2进口产品</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33.3中小企业、监狱企业及残疾人福利性单位</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33.3.1中小企业定义：</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中小企业是</w:t>
      </w:r>
      <w:r>
        <w:rPr>
          <w:rFonts w:hint="eastAsia" w:ascii="宋体" w:hAnsi="宋体" w:cs="宋体"/>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33.3.2供应商提供的货物、工程或者服务符合下列情形的，享受中小企业扶持政策：</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33.3.2.1在货物采购项目中，货物由中小企业制造，即货物由中小企业生产且使用该中小企业商号或者注册商标；</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33.3.2.2在工程采购项目中，工程由中小企业承建，即工程施工单位为中小企业；</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33.3.2.3在服务采购项目中，服务由中小企业承接，即提供服务的人员为中小企业依照《中华人民共和国劳动合同法》订立劳动合同的从业人员。</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33.3.3在货物采购项目中，供应商提供的货物既有中小企业制造货物，也有大型企业制造货物的，不享受中小企业扶持政策。</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33.3.4以联合体形式参加政府采购活动，联合体各方均为中小企业的，联合体视同中小企业。其中，联合体各方均为小微企业的，联合体视同小微企业。</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33.3.6残疾人福利单位定义：享受政府采购支持政策的残疾人福利性单位应当同时满足以下条件：</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33.3.6.1安置的残疾人占本单位在职职工人数的比例不低于25%（含25%），并且安置的残疾人人数不少于10 人（含10 人）；</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33.3.6.2依法与安置的每位残疾人签订了一年以上（含一年）的劳动合同或服务协议；</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33.3.6.3为安置的每位残疾人按月足额缴纳了基本养老保险、基本医疗保险、失业保险、工伤保险和生育保险等社会保险费；</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33.3.6.4通过银行等金融机构向安置的每位残疾人，按月支付了不低于单位所在区县适用的经省级人民政府批准的月最低工资标准的工资；</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33.3.7本项目是否专门面向中小企业预留采购份额见第一章《竞争性磋商公告》。</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33.3.8采购标的对应的中小企业划分标准所属行业见第四章《采购需求》。</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33.3.9小微企业价格评审优惠的政策：见第五章《评标方法和评标标准》。</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33.4政府采购节能产品、环境标志产品</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33.4.1严格执行政府采购关于支持</w:t>
      </w:r>
      <w:r>
        <w:rPr>
          <w:rFonts w:hint="eastAsia" w:ascii="宋体" w:hAnsi="宋体" w:cs="宋体"/>
          <w:color w:val="000000" w:themeColor="text1"/>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33.5绿色包装</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33.6政府采购创新产品</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采购人优先采购各级政府部门公开发布的有效期内的创新产品、创新服务、首台套、首购首用等《目录》的创新产品。</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33.7绿色数据中心政策 </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本文件中若涉及到数据中心采购，采购人应依据《绿色数据中心政府采购需求标准（试行）》（财办库〔2023〕7号）文件精神</w:t>
      </w:r>
      <w:r>
        <w:rPr>
          <w:rFonts w:hint="eastAsia" w:ascii="宋体" w:hAnsi="宋体" w:cs="宋体"/>
          <w:color w:val="000000" w:themeColor="text1"/>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33.8履约保证金政策</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确需收取履约保证金的，履约保证金的缴纳形式：</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如以履约保函（保险）形式缴纳履约保证金，供应商可通过政府采购电子履约保函（保险）平台（www.jsdzbh.com）在线申请履约保函（保险）。</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34. 预付款制度</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本项目落实预付款制度，预付款比例为</w:t>
      </w:r>
      <w:r>
        <w:rPr>
          <w:rFonts w:hint="eastAsia" w:ascii="宋体" w:hAnsi="宋体" w:cs="宋体"/>
          <w:color w:val="000000" w:themeColor="text1"/>
          <w:sz w:val="24"/>
          <w:highlight w:val="none"/>
          <w:u w:val="single"/>
        </w:rPr>
        <w:t xml:space="preserve">30%</w:t>
      </w:r>
      <w:r>
        <w:rPr>
          <w:rFonts w:hint="eastAsia" w:ascii="宋体" w:hAnsi="宋体" w:cs="宋体"/>
          <w:color w:val="000000" w:themeColor="text1"/>
          <w:sz w:val="24"/>
          <w:highlight w:val="none"/>
        </w:rPr>
        <w:t xml:space="preserve">。在签订合同时，中标、成交供应商明确书面表示无需预付款或者主动要求降低预付款比例的，采购人可就预付款比例作相应调整。</w:t>
      </w: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p>
    <w:p>
      <w:pPr>
        <w:pStyle w:val="805"/>
        <w:rPr>
          <w:color w:val="000000" w:themeColor="text1"/>
          <w:sz w:val="36"/>
          <w:szCs w:val="36"/>
          <w:highlight w:val="none"/>
        </w:rPr>
      </w:pPr>
      <w:r>
        <w:rPr>
          <w:color w:val="000000" w:themeColor="text1"/>
          <w:highlight w:val="none"/>
        </w:rPr>
        <w:br w:type="page" w:clear="all"/>
      </w:r>
      <w:bookmarkEnd w:id="79"/>
      <w:r/>
      <w:bookmarkEnd w:id="80"/>
      <w:r/>
      <w:bookmarkEnd w:id="81"/>
      <w:r/>
      <w:bookmarkStart w:id="210" w:name="_Toc12588"/>
      <w:r/>
      <w:bookmarkStart w:id="211" w:name="_Toc212826103"/>
      <w:r>
        <w:rPr>
          <w:rFonts w:hint="eastAsia"/>
          <w:color w:val="000000" w:themeColor="text1"/>
          <w:sz w:val="36"/>
          <w:szCs w:val="36"/>
          <w:highlight w:val="none"/>
        </w:rPr>
        <w:t xml:space="preserve">第三章  合同条款及格式</w:t>
      </w:r>
      <w:bookmarkEnd w:id="210"/>
      <w:r/>
      <w:bookmarkEnd w:id="211"/>
      <w:r/>
      <w:r/>
    </w:p>
    <w:p>
      <w:pPr>
        <w:pStyle w:val="803"/>
        <w:jc w:val="center"/>
        <w:keepNext/>
        <w:spacing w:beforeAutospacing="0" w:afterAutospacing="0"/>
        <w:rPr>
          <w:color w:val="000000" w:themeColor="text1"/>
          <w:highlight w:val="none"/>
        </w:rPr>
        <w:outlineLvl w:val="0"/>
      </w:pPr>
      <w:r/>
      <w:bookmarkStart w:id="212" w:name="_Toc3582"/>
      <w:r/>
      <w:bookmarkStart w:id="213" w:name="_Toc11472"/>
      <w:r/>
      <w:bookmarkStart w:id="214" w:name="_Toc61149622"/>
      <w:r/>
      <w:bookmarkStart w:id="215" w:name="_Toc23828480"/>
      <w:r/>
      <w:bookmarkStart w:id="216" w:name="_Toc26554097"/>
      <w:r>
        <w:rPr>
          <w:rFonts w:hint="eastAsia" w:ascii="黑体" w:eastAsia="黑体" w:cs="黑体"/>
          <w:color w:val="000000" w:themeColor="text1"/>
          <w:sz w:val="44"/>
          <w:szCs w:val="44"/>
          <w:highlight w:val="none"/>
        </w:rPr>
        <w:t xml:space="preserve">合同文本</w:t>
      </w:r>
      <w:bookmarkEnd w:id="212"/>
      <w:r/>
      <w:bookmarkEnd w:id="213"/>
      <w:r/>
      <w:r/>
    </w:p>
    <w:p>
      <w:pPr>
        <w:jc w:val="center"/>
        <w:rPr>
          <w:rFonts w:ascii="Calibri" w:hAnsi="Calibri" w:eastAsia="仿宋_GB2312"/>
          <w:bCs/>
          <w:color w:val="000000" w:themeColor="text1"/>
          <w:sz w:val="28"/>
          <w:szCs w:val="28"/>
          <w:highlight w:val="none"/>
        </w:rPr>
      </w:pPr>
      <w:r>
        <w:rPr>
          <w:rFonts w:ascii="Calibri" w:hAnsi="Calibri" w:eastAsia="仿宋_GB2312"/>
          <w:bCs/>
          <w:color w:val="000000" w:themeColor="text1"/>
          <w:sz w:val="28"/>
          <w:szCs w:val="28"/>
          <w:highlight w:val="none"/>
        </w:rPr>
      </w:r>
      <w:r/>
    </w:p>
    <w:p>
      <w:pPr>
        <w:jc w:val="center"/>
        <w:rPr>
          <w:rFonts w:ascii="Calibri" w:hAnsi="Calibri" w:eastAsia="仿宋_GB2312"/>
          <w:bCs/>
          <w:color w:val="000000" w:themeColor="text1"/>
          <w:sz w:val="28"/>
          <w:szCs w:val="28"/>
          <w:highlight w:val="none"/>
        </w:rPr>
      </w:pPr>
      <w:r>
        <w:rPr>
          <w:rFonts w:hint="eastAsia" w:ascii="Calibri" w:hAnsi="Calibri" w:eastAsia="仿宋_GB2312"/>
          <w:bCs/>
          <w:color w:val="000000" w:themeColor="text1"/>
          <w:sz w:val="28"/>
          <w:szCs w:val="28"/>
          <w:highlight w:val="none"/>
        </w:rPr>
        <w:t xml:space="preserve">（</w:t>
      </w:r>
      <w:r>
        <w:rPr>
          <w:rFonts w:ascii="Calibri" w:hAnsi="Calibri" w:eastAsia="仿宋_GB2312"/>
          <w:bCs/>
          <w:color w:val="000000" w:themeColor="text1"/>
          <w:sz w:val="28"/>
          <w:szCs w:val="28"/>
          <w:highlight w:val="none"/>
        </w:rPr>
        <w:t xml:space="preserve">GF—201</w:t>
      </w:r>
      <w:r>
        <w:rPr>
          <w:rFonts w:hint="eastAsia" w:ascii="Calibri" w:hAnsi="Calibri" w:eastAsia="仿宋_GB2312"/>
          <w:bCs/>
          <w:color w:val="000000" w:themeColor="text1"/>
          <w:sz w:val="28"/>
          <w:szCs w:val="28"/>
          <w:highlight w:val="none"/>
        </w:rPr>
        <w:t xml:space="preserve">7</w:t>
      </w:r>
      <w:r>
        <w:rPr>
          <w:rFonts w:ascii="Calibri" w:hAnsi="Calibri" w:eastAsia="仿宋_GB2312"/>
          <w:bCs/>
          <w:color w:val="000000" w:themeColor="text1"/>
          <w:sz w:val="28"/>
          <w:szCs w:val="28"/>
          <w:highlight w:val="none"/>
        </w:rPr>
        <w:t xml:space="preserve">—0201</w:t>
      </w:r>
      <w:r>
        <w:rPr>
          <w:rFonts w:hint="eastAsia" w:ascii="Calibri" w:hAnsi="Calibri" w:eastAsia="仿宋_GB2312"/>
          <w:bCs/>
          <w:color w:val="000000" w:themeColor="text1"/>
          <w:sz w:val="28"/>
          <w:szCs w:val="28"/>
          <w:highlight w:val="none"/>
        </w:rPr>
        <w:t xml:space="preserve">）</w:t>
      </w:r>
      <w:r/>
    </w:p>
    <w:p>
      <w:pPr>
        <w:jc w:val="center"/>
        <w:rPr>
          <w:rFonts w:ascii="Calibri" w:hAnsi="Calibri" w:eastAsia="华文中宋"/>
          <w:b/>
          <w:color w:val="000000" w:themeColor="text1"/>
          <w:sz w:val="52"/>
          <w:szCs w:val="52"/>
          <w:highlight w:val="none"/>
        </w:rPr>
      </w:pPr>
      <w:r>
        <w:rPr>
          <w:rFonts w:ascii="Calibri" w:hAnsi="Calibri" w:eastAsia="华文中宋"/>
          <w:b/>
          <w:color w:val="000000" w:themeColor="text1"/>
          <w:sz w:val="52"/>
          <w:szCs w:val="52"/>
          <w:highlight w:val="none"/>
        </w:rPr>
      </w:r>
      <w:r/>
    </w:p>
    <w:p>
      <w:pPr>
        <w:jc w:val="center"/>
        <w:rPr>
          <w:rFonts w:ascii="Calibri" w:hAnsi="Calibri" w:eastAsia="华文中宋"/>
          <w:b/>
          <w:color w:val="000000" w:themeColor="text1"/>
          <w:sz w:val="52"/>
          <w:szCs w:val="52"/>
          <w:highlight w:val="none"/>
        </w:rPr>
      </w:pPr>
      <w:r>
        <w:rPr>
          <w:rFonts w:ascii="Calibri" w:hAnsi="Calibri" w:eastAsia="华文中宋"/>
          <w:b/>
          <w:color w:val="000000" w:themeColor="text1"/>
          <w:sz w:val="52"/>
          <w:szCs w:val="52"/>
          <w:highlight w:val="none"/>
        </w:rPr>
      </w:r>
      <w:r/>
    </w:p>
    <w:p>
      <w:pPr>
        <w:jc w:val="center"/>
        <w:rPr>
          <w:rFonts w:ascii="Calibri" w:hAnsi="Calibri" w:eastAsia="华文中宋"/>
          <w:b/>
          <w:color w:val="000000" w:themeColor="text1"/>
          <w:sz w:val="52"/>
          <w:szCs w:val="52"/>
          <w:highlight w:val="none"/>
        </w:rPr>
      </w:pPr>
      <w:r>
        <w:rPr>
          <w:rFonts w:ascii="Calibri" w:hAnsi="Calibri" w:eastAsia="华文中宋"/>
          <w:b/>
          <w:color w:val="000000" w:themeColor="text1"/>
          <w:sz w:val="52"/>
          <w:szCs w:val="52"/>
          <w:highlight w:val="none"/>
        </w:rPr>
      </w:r>
      <w:r/>
    </w:p>
    <w:p>
      <w:pPr>
        <w:jc w:val="center"/>
        <w:rPr>
          <w:rFonts w:ascii="Calibri" w:hAnsi="Calibri" w:eastAsia="华文中宋"/>
          <w:b/>
          <w:color w:val="000000" w:themeColor="text1"/>
          <w:sz w:val="52"/>
          <w:szCs w:val="52"/>
          <w:highlight w:val="none"/>
        </w:rPr>
      </w:pPr>
      <w:r>
        <w:rPr>
          <w:rFonts w:ascii="Calibri" w:hAnsi="Calibri" w:eastAsia="华文中宋"/>
          <w:b/>
          <w:color w:val="000000" w:themeColor="text1"/>
          <w:sz w:val="52"/>
          <w:szCs w:val="52"/>
          <w:highlight w:val="none"/>
        </w:rPr>
      </w:r>
      <w:r/>
    </w:p>
    <w:p>
      <w:pPr>
        <w:jc w:val="center"/>
        <w:rPr>
          <w:rFonts w:ascii="Calibri" w:hAnsi="Calibri" w:eastAsia="华文中宋"/>
          <w:b/>
          <w:color w:val="000000" w:themeColor="text1"/>
          <w:sz w:val="52"/>
          <w:szCs w:val="52"/>
          <w:highlight w:val="none"/>
        </w:rPr>
      </w:pPr>
      <w:r>
        <w:rPr>
          <w:rFonts w:ascii="Calibri" w:hAnsi="Calibri" w:eastAsia="华文中宋"/>
          <w:b/>
          <w:color w:val="000000" w:themeColor="text1"/>
          <w:sz w:val="52"/>
          <w:szCs w:val="52"/>
          <w:highlight w:val="none"/>
        </w:rPr>
      </w:r>
      <w:r/>
    </w:p>
    <w:p>
      <w:pPr>
        <w:jc w:val="center"/>
        <w:rPr>
          <w:rFonts w:ascii="Calibri" w:hAnsi="Calibri" w:eastAsia="华文中宋"/>
          <w:b/>
          <w:color w:val="000000" w:themeColor="text1"/>
          <w:sz w:val="52"/>
          <w:szCs w:val="52"/>
          <w:highlight w:val="none"/>
        </w:rPr>
      </w:pPr>
      <w:r>
        <w:rPr>
          <w:rFonts w:ascii="Calibri" w:hAnsi="Calibri" w:eastAsia="华文中宋"/>
          <w:b/>
          <w:color w:val="000000" w:themeColor="text1"/>
          <w:sz w:val="52"/>
          <w:szCs w:val="52"/>
          <w:highlight w:val="none"/>
        </w:rPr>
      </w:r>
      <w:r/>
    </w:p>
    <w:p>
      <w:pPr>
        <w:jc w:val="center"/>
        <w:rPr>
          <w:rFonts w:ascii="Calibri" w:hAnsi="Calibri" w:eastAsia="华文中宋"/>
          <w:b/>
          <w:color w:val="000000" w:themeColor="text1"/>
          <w:sz w:val="52"/>
          <w:szCs w:val="52"/>
          <w:highlight w:val="none"/>
        </w:rPr>
      </w:pPr>
      <w:r>
        <w:rPr>
          <w:rFonts w:ascii="Calibri" w:hAnsi="Calibri" w:eastAsia="华文中宋"/>
          <w:b/>
          <w:color w:val="000000" w:themeColor="text1"/>
          <w:sz w:val="52"/>
          <w:szCs w:val="52"/>
          <w:highlight w:val="none"/>
        </w:rPr>
      </w:r>
      <w:r/>
    </w:p>
    <w:p>
      <w:pPr>
        <w:jc w:val="center"/>
        <w:rPr>
          <w:rFonts w:ascii="Calibri" w:hAnsi="Calibri" w:eastAsia="华文中宋"/>
          <w:b/>
          <w:color w:val="000000" w:themeColor="text1"/>
          <w:sz w:val="52"/>
          <w:szCs w:val="52"/>
          <w:highlight w:val="none"/>
        </w:rPr>
      </w:pPr>
      <w:r>
        <w:rPr>
          <w:rFonts w:ascii="Calibri" w:hAnsi="Calibri" w:eastAsia="华文中宋"/>
          <w:b/>
          <w:color w:val="000000" w:themeColor="text1"/>
          <w:sz w:val="52"/>
          <w:szCs w:val="52"/>
          <w:highlight w:val="none"/>
        </w:rPr>
      </w:r>
      <w:r/>
    </w:p>
    <w:p>
      <w:pPr>
        <w:jc w:val="center"/>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建设工程施工合同</w:t>
      </w:r>
      <w:r>
        <w:rPr>
          <w:rFonts w:ascii="宋体" w:hAnsi="宋体"/>
          <w:b/>
          <w:color w:val="000000" w:themeColor="text1"/>
          <w:sz w:val="36"/>
          <w:szCs w:val="36"/>
          <w:highlight w:val="none"/>
        </w:rPr>
        <w:br w:type="textWrapping" w:clear="all"/>
      </w:r>
      <w:r>
        <w:rPr>
          <w:rFonts w:hint="eastAsia" w:ascii="宋体" w:hAnsi="宋体"/>
          <w:b/>
          <w:color w:val="000000" w:themeColor="text1"/>
          <w:sz w:val="36"/>
          <w:szCs w:val="36"/>
          <w:highlight w:val="none"/>
        </w:rPr>
        <w:t xml:space="preserve">（示范文本）</w:t>
      </w:r>
      <w:r/>
    </w:p>
    <w:p>
      <w:pPr>
        <w:jc w:val="center"/>
        <w:rPr>
          <w:rFonts w:ascii="宋体" w:hAnsi="宋体"/>
          <w:b/>
          <w:color w:val="000000" w:themeColor="text1"/>
          <w:sz w:val="52"/>
          <w:szCs w:val="52"/>
          <w:highlight w:val="none"/>
        </w:rPr>
      </w:pPr>
      <w:r>
        <w:rPr>
          <w:rFonts w:ascii="宋体" w:hAnsi="宋体"/>
          <w:b/>
          <w:color w:val="000000" w:themeColor="text1"/>
          <w:sz w:val="52"/>
          <w:szCs w:val="52"/>
          <w:highlight w:val="none"/>
        </w:rPr>
      </w:r>
      <w:r/>
    </w:p>
    <w:p>
      <w:pPr>
        <w:jc w:val="center"/>
        <w:rPr>
          <w:rFonts w:ascii="Calibri" w:hAnsi="Calibri" w:eastAsia="黑体"/>
          <w:b/>
          <w:color w:val="000000" w:themeColor="text1"/>
          <w:sz w:val="72"/>
          <w:szCs w:val="72"/>
          <w:highlight w:val="none"/>
        </w:rPr>
      </w:pPr>
      <w:r>
        <w:rPr>
          <w:rFonts w:ascii="Calibri" w:hAnsi="Calibri" w:eastAsia="黑体"/>
          <w:b/>
          <w:color w:val="000000" w:themeColor="text1"/>
          <w:sz w:val="72"/>
          <w:szCs w:val="72"/>
          <w:highlight w:val="none"/>
        </w:rPr>
      </w:r>
      <w:r/>
    </w:p>
    <w:p>
      <w:pPr>
        <w:rPr>
          <w:rFonts w:ascii="Calibri" w:hAnsi="Calibri" w:eastAsia="黑体"/>
          <w:b/>
          <w:color w:val="000000" w:themeColor="text1"/>
          <w:sz w:val="52"/>
          <w:szCs w:val="52"/>
          <w:highlight w:val="none"/>
        </w:rPr>
      </w:pPr>
      <w:r>
        <w:rPr>
          <w:rFonts w:ascii="Calibri" w:hAnsi="Calibri" w:eastAsia="黑体"/>
          <w:b/>
          <w:color w:val="000000" w:themeColor="text1"/>
          <w:sz w:val="52"/>
          <w:szCs w:val="52"/>
          <w:highlight w:val="none"/>
        </w:rPr>
      </w:r>
      <w:r/>
    </w:p>
    <w:p>
      <w:pPr>
        <w:rPr>
          <w:rFonts w:ascii="Calibri" w:hAnsi="Calibri"/>
          <w:b/>
          <w:color w:val="000000" w:themeColor="text1"/>
          <w:sz w:val="28"/>
          <w:szCs w:val="28"/>
          <w:highlight w:val="none"/>
        </w:rPr>
      </w:pPr>
      <w:r>
        <w:rPr>
          <w:rFonts w:ascii="Calibri" w:hAnsi="Calibri"/>
          <w:b/>
          <w:color w:val="000000" w:themeColor="text1"/>
          <w:sz w:val="28"/>
          <w:szCs w:val="28"/>
          <w:highlight w:val="none"/>
        </w:rPr>
      </w:r>
      <w:r/>
    </w:p>
    <w:p>
      <w:pPr>
        <w:rPr>
          <w:rFonts w:ascii="Calibri" w:hAnsi="Calibri"/>
          <w:b/>
          <w:color w:val="000000" w:themeColor="text1"/>
          <w:sz w:val="28"/>
          <w:szCs w:val="28"/>
          <w:highlight w:val="none"/>
        </w:rPr>
      </w:pPr>
      <w:r>
        <w:rPr>
          <w:rFonts w:ascii="Calibri" w:hAnsi="Calibri"/>
          <w:b/>
          <w:color w:val="000000" w:themeColor="text1"/>
          <w:sz w:val="28"/>
          <w:szCs w:val="28"/>
          <w:highlight w:val="none"/>
        </w:rPr>
      </w:r>
      <w:r/>
    </w:p>
    <w:p>
      <w:pPr>
        <w:rPr>
          <w:rFonts w:ascii="Calibri" w:hAnsi="Calibri"/>
          <w:b/>
          <w:color w:val="000000" w:themeColor="text1"/>
          <w:sz w:val="28"/>
          <w:szCs w:val="28"/>
          <w:highlight w:val="none"/>
        </w:rPr>
      </w:pPr>
      <w:r>
        <w:rPr>
          <w:rFonts w:ascii="Calibri" w:hAnsi="Calibri"/>
          <w:b/>
          <w:color w:val="000000" w:themeColor="text1"/>
          <w:sz w:val="28"/>
          <w:szCs w:val="28"/>
          <w:highlight w:val="none"/>
        </w:rPr>
      </w:r>
      <w:r/>
    </w:p>
    <w:p>
      <w:pPr>
        <w:rPr>
          <w:rFonts w:ascii="Calibri" w:hAnsi="Calibri"/>
          <w:b/>
          <w:color w:val="000000" w:themeColor="text1"/>
          <w:sz w:val="28"/>
          <w:szCs w:val="28"/>
          <w:highlight w:val="none"/>
        </w:rPr>
      </w:pPr>
      <w:r>
        <w:rPr>
          <w:rFonts w:ascii="Calibri" w:hAnsi="Calibri"/>
          <w:b/>
          <w:color w:val="000000" w:themeColor="text1"/>
          <w:sz w:val="28"/>
          <w:szCs w:val="28"/>
          <w:highlight w:val="none"/>
        </w:rPr>
      </w:r>
      <w:r/>
    </w:p>
    <w:p>
      <w:pPr>
        <w:rPr>
          <w:rFonts w:ascii="Calibri" w:hAnsi="Calibri"/>
          <w:b/>
          <w:color w:val="000000" w:themeColor="text1"/>
          <w:sz w:val="28"/>
          <w:szCs w:val="28"/>
          <w:highlight w:val="none"/>
        </w:rPr>
      </w:pPr>
      <w:r>
        <w:rPr>
          <w:rFonts w:ascii="Calibri" w:hAnsi="Calibri"/>
          <w:b/>
          <w:color w:val="000000" w:themeColor="text1"/>
          <w:sz w:val="28"/>
          <w:szCs w:val="28"/>
          <w:highlight w:val="none"/>
        </w:rPr>
      </w:r>
      <w:r/>
    </w:p>
    <w:p>
      <w:pPr>
        <w:ind w:right="2719" w:firstLine="2738"/>
        <w:rPr>
          <w:rFonts w:ascii="Calibri" w:hAnsi="Calibri"/>
          <w:b/>
          <w:color w:val="000000" w:themeColor="text1"/>
          <w:sz w:val="28"/>
          <w:highlight w:val="none"/>
        </w:rPr>
      </w:pPr>
      <w:r>
        <w:rPr>
          <w:rFonts w:ascii="Calibri" w:hAnsi="Calibri"/>
          <w:color w:val="000000" w:themeColor="text1"/>
          <w:sz w:val="2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4414520</wp:posOffset>
                </wp:positionH>
                <wp:positionV relativeFrom="paragraph">
                  <wp:posOffset>92075</wp:posOffset>
                </wp:positionV>
                <wp:extent cx="723900" cy="41148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723900" cy="411480"/>
                        </a:xfrm>
                        <a:prstGeom prst="rect">
                          <a:avLst/>
                        </a:prstGeom>
                        <a:noFill/>
                        <a:ln>
                          <a:solidFill>
                            <a:srgbClr val="000000"/>
                          </a:solidFill>
                          <a:round/>
                        </a:ln>
                      </wps:spPr>
                      <wps:txbx>
                        <w:txbxContent>
                          <w:p>
                            <w:pPr>
                              <w:rPr>
                                <w:rFonts w:ascii="Calibri" w:hAnsi="Calibri"/>
                                <w:b/>
                                <w:bCs/>
                                <w:sz w:val="32"/>
                                <w:szCs w:val="22"/>
                              </w:rPr>
                            </w:pPr>
                            <w:r>
                              <w:rPr>
                                <w:rFonts w:hint="eastAsia" w:ascii="Calibri" w:hAnsi="Calibri"/>
                                <w:b/>
                                <w:bCs/>
                                <w:sz w:val="32"/>
                                <w:szCs w:val="22"/>
                              </w:rPr>
                              <w:t xml:space="preserve">制定</w:t>
                            </w:r>
                            <w:r/>
                          </w:p>
                          <w:p>
                            <w:pPr>
                              <w:rPr>
                                <w:rFonts w:ascii="Calibri" w:hAnsi="Calibri"/>
                                <w:szCs w:val="22"/>
                              </w:rPr>
                            </w:pPr>
                            <w:r>
                              <w:rPr>
                                <w:rFonts w:ascii="Calibri" w:hAnsi="Calibri"/>
                                <w:szCs w:val="22"/>
                              </w:rPr>
                            </w:r>
                            <w:r/>
                          </w:p>
                        </w:txbxContent>
                      </wps:txbx>
                      <wps:bodyPr wrap="square" upright="1"/>
                    </wps:wsp>
                  </a:graphicData>
                </a:graphic>
              </wp:anchor>
            </w:drawing>
          </mc:Choice>
          <mc:Fallback>
            <w:pict>
              <v:shape id="shape 1" o:spid="_x0000_s1" o:spt="1" type="#_x0000_t1" style="position:absolute;z-index:251660288;o:allowoverlap:true;o:allowincell:true;mso-position-horizontal-relative:text;margin-left:347.6pt;mso-position-horizontal:absolute;mso-position-vertical-relative:text;margin-top:7.2pt;mso-position-vertical:absolute;width:57.0pt;height:32.4pt;mso-wrap-distance-left:9.0pt;mso-wrap-distance-top:0.0pt;mso-wrap-distance-right:9.0pt;mso-wrap-distance-bottom:0.0pt;visibility:visible;" filled="f" strokecolor="#000000">
                <v:textbox inset="0,0,0,0">
                  <w:txbxContent>
                    <w:p>
                      <w:pPr>
                        <w:rPr>
                          <w:rFonts w:ascii="Calibri" w:hAnsi="Calibri"/>
                          <w:b/>
                          <w:bCs/>
                          <w:sz w:val="32"/>
                          <w:szCs w:val="22"/>
                        </w:rPr>
                      </w:pPr>
                      <w:r>
                        <w:rPr>
                          <w:rFonts w:hint="eastAsia" w:ascii="Calibri" w:hAnsi="Calibri"/>
                          <w:b/>
                          <w:bCs/>
                          <w:sz w:val="32"/>
                          <w:szCs w:val="22"/>
                        </w:rPr>
                        <w:t xml:space="preserve">制定</w:t>
                      </w:r>
                      <w:r/>
                    </w:p>
                    <w:p>
                      <w:pPr>
                        <w:rPr>
                          <w:rFonts w:ascii="Calibri" w:hAnsi="Calibri"/>
                          <w:szCs w:val="22"/>
                        </w:rPr>
                      </w:pPr>
                      <w:r>
                        <w:rPr>
                          <w:rFonts w:ascii="Calibri" w:hAnsi="Calibri"/>
                          <w:szCs w:val="22"/>
                        </w:rPr>
                      </w:r>
                      <w:r/>
                    </w:p>
                  </w:txbxContent>
                </v:textbox>
              </v:shape>
            </w:pict>
          </mc:Fallback>
        </mc:AlternateContent>
      </w:r>
      <w:r>
        <w:rPr>
          <w:rFonts w:hint="eastAsia" w:ascii="Calibri" w:hAnsi="Calibri"/>
          <w:b/>
          <w:color w:val="000000" w:themeColor="text1"/>
          <w:sz w:val="28"/>
          <w:highlight w:val="none"/>
        </w:rPr>
        <w:t xml:space="preserve">住房城乡建设部</w:t>
      </w:r>
      <w:r/>
    </w:p>
    <w:p>
      <w:pPr>
        <w:ind w:right="2719" w:firstLine="2750"/>
        <w:rPr>
          <w:rFonts w:ascii="Calibri" w:hAnsi="Calibri"/>
          <w:b/>
          <w:color w:val="000000" w:themeColor="text1"/>
          <w:sz w:val="28"/>
          <w:highlight w:val="none"/>
        </w:rPr>
        <w:outlineLvl w:val="1"/>
      </w:pPr>
      <w:r/>
      <w:bookmarkStart w:id="217" w:name="_Toc18076"/>
      <w:r>
        <w:rPr>
          <w:rFonts w:hint="eastAsia" w:ascii="Calibri" w:hAnsi="Calibri"/>
          <w:b/>
          <w:color w:val="000000" w:themeColor="text1"/>
          <w:sz w:val="28"/>
          <w:highlight w:val="none"/>
        </w:rPr>
        <w:t xml:space="preserve">国家工商行政管理总局</w:t>
      </w:r>
      <w:bookmarkEnd w:id="217"/>
      <w:r/>
      <w:r/>
    </w:p>
    <w:p>
      <w:pPr>
        <w:jc w:val="center"/>
        <w:keepLines/>
        <w:keepNext/>
        <w:spacing w:line="400" w:lineRule="exact"/>
        <w:rPr>
          <w:rFonts w:ascii="宋体" w:hAnsi="宋体" w:cs="宋体"/>
          <w:b/>
          <w:color w:val="000000" w:themeColor="text1"/>
          <w:sz w:val="24"/>
          <w:highlight w:val="none"/>
        </w:rPr>
      </w:pPr>
      <w:r>
        <w:rPr>
          <w:rFonts w:ascii="Calibri" w:hAnsi="Calibri"/>
          <w:b/>
          <w:color w:val="000000" w:themeColor="text1"/>
          <w:sz w:val="44"/>
          <w:szCs w:val="44"/>
          <w:highlight w:val="none"/>
        </w:rPr>
        <w:br w:type="page" w:clear="all"/>
      </w:r>
      <w:r>
        <w:rPr>
          <w:rFonts w:hint="eastAsia" w:ascii="宋体" w:hAnsi="宋体" w:cs="宋体"/>
          <w:b/>
          <w:color w:val="000000" w:themeColor="text1"/>
          <w:sz w:val="24"/>
          <w:highlight w:val="none"/>
        </w:rPr>
        <w:t xml:space="preserve">说明</w:t>
      </w:r>
      <w:r/>
    </w:p>
    <w:p>
      <w:pPr>
        <w:ind w:firstLine="480"/>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为了指导建设工程施工合同当事人的签约行为，维护合同当事人的合法权益，依据《中华人民共和国民法典》、《中华人民共和国建筑法》、《中华人民共和国政府采购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80"/>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一、《示范文本》的组成</w:t>
      </w:r>
      <w:r/>
    </w:p>
    <w:p>
      <w:pPr>
        <w:ind w:firstLine="480"/>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《示范文本》由合同协议书、通用合同条款和专用合同条款三部分组成。</w:t>
      </w:r>
      <w:r/>
    </w:p>
    <w:p>
      <w:pPr>
        <w:ind w:firstLine="480"/>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（一）合同协议书</w:t>
      </w:r>
      <w:r/>
    </w:p>
    <w:p>
      <w:pPr>
        <w:ind w:firstLine="480"/>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（二）通用合同条款</w:t>
      </w:r>
      <w:r/>
    </w:p>
    <w:p>
      <w:pPr>
        <w:ind w:firstLine="480"/>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80"/>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（三）专用合同条款</w:t>
      </w:r>
      <w:r/>
    </w:p>
    <w:p>
      <w:pPr>
        <w:ind w:firstLine="480"/>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80"/>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1.专用合同条款的编号应与相应的通用合同条款的编号一致；</w:t>
      </w:r>
      <w:r/>
    </w:p>
    <w:p>
      <w:pPr>
        <w:ind w:firstLine="480"/>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2.合同当事人可以通过对专用合同条款的修改，满足具体建设工程的特殊要求，避免直接修改通用合同条款；</w:t>
      </w:r>
      <w:r/>
    </w:p>
    <w:p>
      <w:pPr>
        <w:ind w:firstLine="480"/>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3.在专用合同条款中有横道线的地方，合同当事人可针对相应的通用合同条款进行细化、完善、补充、修改或另行约定；如无细化、完善、补充、修改或另行约定，则填写“无”或划“/”。</w:t>
      </w:r>
      <w:r/>
    </w:p>
    <w:p>
      <w:pPr>
        <w:ind w:firstLine="480"/>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二、《示范文本》的性质和适用范围</w:t>
      </w:r>
      <w:r/>
    </w:p>
    <w:p>
      <w:pPr>
        <w:ind w:firstLine="480"/>
        <w:spacing w:line="276" w:lineRule="auto"/>
        <w:rPr>
          <w:rFonts w:ascii="宋体" w:hAnsi="宋体" w:cs="宋体"/>
          <w:b/>
          <w:color w:val="000000" w:themeColor="text1"/>
          <w:sz w:val="24"/>
          <w:highlight w:val="none"/>
        </w:rPr>
      </w:pPr>
      <w:r>
        <w:rPr>
          <w:rFonts w:hint="eastAsia" w:ascii="宋体" w:hAnsi="宋体" w:cs="宋体"/>
          <w:color w:val="000000" w:themeColor="text1"/>
          <w:sz w:val="24"/>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jc w:val="center"/>
        <w:keepLines/>
        <w:keepNext/>
        <w:spacing w:before="200" w:after="200" w:line="360" w:lineRule="auto"/>
        <w:rPr>
          <w:rFonts w:ascii="宋体" w:hAnsi="宋体" w:cs="宋体"/>
          <w:b/>
          <w:color w:val="000000" w:themeColor="text1"/>
          <w:sz w:val="24"/>
          <w:highlight w:val="none"/>
        </w:rPr>
        <w:outlineLvl w:val="1"/>
      </w:pPr>
      <w:r>
        <w:rPr>
          <w:rFonts w:ascii="宋体" w:hAnsi="宋体" w:cs="宋体"/>
          <w:b/>
          <w:color w:val="000000" w:themeColor="text1"/>
          <w:sz w:val="24"/>
          <w:highlight w:val="none"/>
        </w:rPr>
      </w:r>
      <w:r/>
    </w:p>
    <w:p>
      <w:pPr>
        <w:pStyle w:val="776"/>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p>
    <w:p>
      <w:pPr>
        <w:jc w:val="center"/>
        <w:keepLines/>
        <w:keepNext/>
        <w:spacing w:before="200" w:after="200" w:line="360" w:lineRule="auto"/>
        <w:rPr>
          <w:rFonts w:ascii="宋体" w:hAnsi="宋体" w:cs="宋体"/>
          <w:b/>
          <w:color w:val="000000" w:themeColor="text1"/>
          <w:sz w:val="24"/>
          <w:highlight w:val="none"/>
        </w:rPr>
        <w:outlineLvl w:val="1"/>
      </w:pPr>
      <w:r/>
      <w:bookmarkStart w:id="218" w:name="_Toc326"/>
      <w:r>
        <w:rPr>
          <w:rFonts w:hint="eastAsia" w:ascii="宋体" w:hAnsi="宋体" w:cs="宋体"/>
          <w:b/>
          <w:color w:val="000000" w:themeColor="text1"/>
          <w:sz w:val="24"/>
          <w:highlight w:val="none"/>
        </w:rPr>
        <w:t xml:space="preserve">合同协议书</w:t>
      </w:r>
      <w:bookmarkEnd w:id="218"/>
      <w:r/>
      <w:r/>
    </w:p>
    <w:p>
      <w:pPr>
        <w:jc w:val="left"/>
        <w:spacing w:line="360" w:lineRule="auto"/>
        <w:tabs>
          <w:tab w:val="left" w:pos="6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采购人(全称)：盐城市公安局 </w:t>
      </w:r>
      <w:r/>
    </w:p>
    <w:p>
      <w:pPr>
        <w:ind w:right="12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成交供应商(全称)： 　　        </w:t>
      </w:r>
      <w:r/>
    </w:p>
    <w:p>
      <w:pPr>
        <w:ind w:right="120" w:firstLine="51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根据《中华人民共和国民法典》、《中华人民共和国建筑法》及有关法律规定，遵循平等、自愿、公平和诚实信用的原则，双方就施工及有关事项协商一致，共同达成如下协议：</w:t>
      </w:r>
      <w:r/>
    </w:p>
    <w:p>
      <w:pPr>
        <w:jc w:val="left"/>
        <w:spacing w:line="360" w:lineRule="auto"/>
        <w:tabs>
          <w:tab w:val="left" w:pos="5080" w:leader="none"/>
          <w:tab w:val="left" w:pos="9960" w:leader="none"/>
          <w:tab w:val="left" w:pos="1010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一、工程概况</w:t>
      </w:r>
      <w:r/>
    </w:p>
    <w:p>
      <w:pPr>
        <w:ind w:firstLine="465"/>
        <w:jc w:val="left"/>
        <w:spacing w:line="360" w:lineRule="auto"/>
        <w:tabs>
          <w:tab w:val="left" w:pos="2160" w:leader="none"/>
          <w:tab w:val="left" w:pos="5080" w:leader="none"/>
          <w:tab w:val="left" w:pos="9960" w:leader="none"/>
          <w:tab w:val="left" w:pos="1010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1.工程名称：</w:t>
      </w:r>
      <w:r/>
    </w:p>
    <w:p>
      <w:pPr>
        <w:ind w:firstLine="465"/>
        <w:jc w:val="left"/>
        <w:spacing w:line="360" w:lineRule="auto"/>
        <w:tabs>
          <w:tab w:val="left" w:pos="2160" w:leader="none"/>
          <w:tab w:val="left" w:pos="5080" w:leader="none"/>
          <w:tab w:val="left" w:pos="9960" w:leader="none"/>
          <w:tab w:val="left" w:pos="1010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2.工程地点：</w:t>
      </w:r>
      <w:r>
        <w:rPr>
          <w:rFonts w:hint="eastAsia" w:ascii="宋体" w:hAnsi="宋体" w:cs="宋体"/>
          <w:color w:val="000000" w:themeColor="text1"/>
          <w:sz w:val="24"/>
          <w:highlight w:val="none"/>
          <w:u w:val="single"/>
        </w:rPr>
        <w:t xml:space="preserve">盐城市公安局</w:t>
      </w:r>
      <w:r>
        <w:rPr>
          <w:rFonts w:hint="eastAsia" w:ascii="宋体" w:hAnsi="宋体" w:cs="宋体"/>
          <w:color w:val="000000" w:themeColor="text1"/>
          <w:sz w:val="24"/>
          <w:highlight w:val="none"/>
        </w:rPr>
        <w:t xml:space="preserve">。</w:t>
      </w:r>
      <w:r/>
    </w:p>
    <w:p>
      <w:pPr>
        <w:jc w:val="left"/>
        <w:spacing w:line="360" w:lineRule="auto"/>
        <w:tabs>
          <w:tab w:val="left" w:pos="3200" w:leader="none"/>
          <w:tab w:val="left" w:pos="5080" w:leader="none"/>
          <w:tab w:val="left" w:pos="9960" w:leader="none"/>
          <w:tab w:val="left" w:pos="1010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3.工程立项批准文号：</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jc w:val="left"/>
        <w:spacing w:line="360" w:lineRule="auto"/>
        <w:tabs>
          <w:tab w:val="left" w:pos="2160" w:leader="none"/>
          <w:tab w:val="left" w:pos="5080" w:leader="none"/>
          <w:tab w:val="left" w:pos="9960" w:leader="none"/>
          <w:tab w:val="left" w:pos="1010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4.资金来源： </w:t>
      </w:r>
      <w:r>
        <w:rPr>
          <w:rFonts w:hint="eastAsia" w:ascii="宋体" w:hAnsi="宋体" w:cs="宋体"/>
          <w:color w:val="000000" w:themeColor="text1"/>
          <w:sz w:val="24"/>
          <w:highlight w:val="none"/>
          <w:u w:val="single"/>
        </w:rPr>
        <w:t xml:space="preserve">财政  </w:t>
      </w:r>
      <w:r>
        <w:rPr>
          <w:rFonts w:hint="eastAsia" w:ascii="宋体" w:hAnsi="宋体" w:cs="宋体"/>
          <w:color w:val="000000" w:themeColor="text1"/>
          <w:sz w:val="24"/>
          <w:highlight w:val="none"/>
        </w:rPr>
        <w:t xml:space="preserve">。</w:t>
      </w:r>
      <w:r/>
    </w:p>
    <w:p>
      <w:pPr>
        <w:jc w:val="left"/>
        <w:spacing w:line="360" w:lineRule="auto"/>
        <w:tabs>
          <w:tab w:val="left" w:pos="1746" w:leader="none"/>
          <w:tab w:val="left" w:pos="3200" w:leader="none"/>
          <w:tab w:val="left" w:pos="5080" w:leader="none"/>
          <w:tab w:val="left" w:pos="99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5.工程内容：</w:t>
      </w:r>
      <w:r>
        <w:rPr>
          <w:rFonts w:hint="eastAsia" w:ascii="宋体" w:hAnsi="宋体" w:cs="宋体"/>
          <w:color w:val="000000" w:themeColor="text1"/>
          <w:sz w:val="24"/>
          <w:highlight w:val="none"/>
          <w:u w:val="single"/>
        </w:rPr>
        <w:t xml:space="preserve">工程包工包料施工</w:t>
      </w:r>
      <w:r>
        <w:rPr>
          <w:rFonts w:hint="eastAsia" w:ascii="宋体" w:hAnsi="宋体" w:cs="宋体"/>
          <w:color w:val="000000" w:themeColor="text1"/>
          <w:sz w:val="24"/>
          <w:highlight w:val="none"/>
        </w:rPr>
        <w:t xml:space="preserve">。</w:t>
      </w:r>
      <w:r/>
    </w:p>
    <w:p>
      <w:pPr>
        <w:jc w:val="left"/>
        <w:spacing w:line="360" w:lineRule="auto"/>
        <w:tabs>
          <w:tab w:val="left" w:pos="9960" w:leader="none"/>
          <w:tab w:val="left" w:pos="1010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群体工程应附《承包人承揽工程项目一览表》(附件1)</w:t>
      </w:r>
      <w:r/>
    </w:p>
    <w:p>
      <w:pPr>
        <w:jc w:val="left"/>
        <w:spacing w:line="360" w:lineRule="auto"/>
        <w:tabs>
          <w:tab w:val="left" w:pos="2600" w:leader="none"/>
          <w:tab w:val="left" w:pos="3200" w:leader="none"/>
          <w:tab w:val="left" w:pos="5080" w:leader="none"/>
          <w:tab w:val="left" w:pos="99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6.工程承包范围：</w:t>
      </w:r>
      <w:r>
        <w:rPr>
          <w:rFonts w:hint="eastAsia" w:ascii="宋体" w:hAnsi="宋体" w:cs="宋体"/>
          <w:color w:val="000000" w:themeColor="text1"/>
          <w:sz w:val="24"/>
          <w:highlight w:val="none"/>
          <w:u w:val="single"/>
        </w:rPr>
        <w:t xml:space="preserve">详见工程量清单。</w:t>
      </w:r>
      <w:r/>
    </w:p>
    <w:p>
      <w:pPr>
        <w:jc w:val="left"/>
        <w:spacing w:line="360" w:lineRule="auto"/>
        <w:tabs>
          <w:tab w:val="left" w:pos="5080" w:leader="none"/>
          <w:tab w:val="left" w:pos="9960" w:leader="none"/>
          <w:tab w:val="left" w:pos="1010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二、合同工期及服务期限：</w:t>
      </w:r>
      <w:r/>
    </w:p>
    <w:p>
      <w:pPr>
        <w:jc w:val="left"/>
        <w:spacing w:line="360" w:lineRule="auto"/>
        <w:tabs>
          <w:tab w:val="left" w:pos="2175" w:leader="none"/>
          <w:tab w:val="left" w:pos="5080" w:leader="none"/>
          <w:tab w:val="left" w:pos="9960" w:leader="none"/>
          <w:tab w:val="left" w:pos="10100" w:leader="none"/>
        </w:tabs>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　  工期总日历天数：</w:t>
      </w:r>
      <w:r>
        <w:rPr>
          <w:rFonts w:hint="eastAsia" w:ascii="宋体" w:hAnsi="宋体" w:cs="宋体"/>
          <w:b/>
          <w:bCs/>
          <w:color w:val="000000" w:themeColor="text1"/>
          <w:sz w:val="24"/>
          <w:highlight w:val="none"/>
          <w:u w:val="single"/>
        </w:rPr>
        <w:t xml:space="preserve">天，即：年    月     日</w:t>
      </w:r>
      <w:r>
        <w:rPr>
          <w:rFonts w:hint="eastAsia" w:ascii="宋体" w:hAnsi="宋体" w:cs="宋体"/>
          <w:color w:val="000000" w:themeColor="text1"/>
          <w:sz w:val="24"/>
          <w:highlight w:val="none"/>
        </w:rPr>
        <w:t xml:space="preserve">之前完工并达到盐城市公安局的验收要求。</w:t>
      </w:r>
      <w:r/>
    </w:p>
    <w:p>
      <w:pPr>
        <w:jc w:val="left"/>
        <w:spacing w:line="360" w:lineRule="auto"/>
        <w:tabs>
          <w:tab w:val="left" w:pos="5080" w:leader="none"/>
          <w:tab w:val="left" w:pos="9960" w:leader="none"/>
          <w:tab w:val="left" w:pos="1010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工程质保期限： </w:t>
      </w:r>
      <w:r>
        <w:rPr>
          <w:rFonts w:hint="eastAsia" w:ascii="宋体" w:hAnsi="宋体" w:cs="宋体"/>
          <w:color w:val="000000" w:themeColor="text1"/>
          <w:sz w:val="24"/>
          <w:highlight w:val="none"/>
          <w:u w:val="single"/>
        </w:rPr>
        <w:t xml:space="preserve">叁年   </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三、质量标准</w:t>
      </w:r>
      <w:r/>
    </w:p>
    <w:p>
      <w:pPr>
        <w:jc w:val="left"/>
        <w:spacing w:line="360" w:lineRule="auto"/>
        <w:tabs>
          <w:tab w:val="left" w:pos="2200" w:leader="none"/>
          <w:tab w:val="left" w:pos="2800" w:leader="none"/>
          <w:tab w:val="left" w:pos="4960" w:leader="none"/>
          <w:tab w:val="left" w:pos="950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工程质量符合国家工程质量验收规范</w:t>
      </w:r>
      <w:r>
        <w:rPr>
          <w:rFonts w:hint="eastAsia" w:ascii="宋体" w:hAnsi="宋体" w:cs="宋体"/>
          <w:color w:val="000000" w:themeColor="text1"/>
          <w:sz w:val="24"/>
          <w:highlight w:val="none"/>
          <w:u w:val="single"/>
        </w:rPr>
        <w:t xml:space="preserve">合格</w:t>
      </w:r>
      <w:r>
        <w:rPr>
          <w:rFonts w:hint="eastAsia" w:ascii="宋体" w:hAnsi="宋体" w:cs="宋体"/>
          <w:color w:val="000000" w:themeColor="text1"/>
          <w:sz w:val="24"/>
          <w:highlight w:val="none"/>
        </w:rPr>
        <w:t xml:space="preserve">标准。</w:t>
      </w:r>
      <w:r/>
    </w:p>
    <w:p>
      <w:pPr>
        <w:jc w:val="left"/>
        <w:spacing w:line="360" w:lineRule="auto"/>
        <w:tabs>
          <w:tab w:val="left" w:pos="9500" w:leader="none"/>
          <w:tab w:val="left" w:pos="99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四、签约合同价与合同价格形式</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1.签约合同价为：</w:t>
      </w:r>
      <w:r>
        <w:rPr>
          <w:rFonts w:hint="eastAsia" w:ascii="宋体" w:hAnsi="宋体" w:cs="宋体"/>
          <w:color w:val="000000" w:themeColor="text1"/>
          <w:sz w:val="24"/>
          <w:highlight w:val="none"/>
        </w:rPr>
        <w:tab/>
      </w:r>
      <w:r>
        <w:rPr>
          <w:rFonts w:hint="eastAsia" w:ascii="宋体" w:hAnsi="宋体" w:cs="宋体"/>
          <w:color w:val="000000" w:themeColor="text1"/>
          <w:sz w:val="24"/>
          <w:highlight w:val="none"/>
        </w:rPr>
        <w:tab/>
      </w:r>
      <w:r>
        <w:rPr>
          <w:rFonts w:hint="eastAsia" w:ascii="宋体" w:hAnsi="宋体" w:cs="宋体"/>
          <w:color w:val="000000" w:themeColor="text1"/>
          <w:sz w:val="24"/>
          <w:highlight w:val="none"/>
        </w:rPr>
        <w:tab/>
      </w:r>
      <w:r>
        <w:rPr>
          <w:rFonts w:hint="eastAsia" w:ascii="宋体" w:hAnsi="宋体" w:cs="宋体"/>
          <w:color w:val="000000" w:themeColor="text1"/>
          <w:sz w:val="24"/>
          <w:highlight w:val="none"/>
        </w:rPr>
        <w:tab/>
      </w:r>
      <w:r>
        <w:rPr>
          <w:rFonts w:hint="eastAsia" w:ascii="宋体" w:hAnsi="宋体" w:cs="宋体"/>
          <w:color w:val="000000" w:themeColor="text1"/>
          <w:sz w:val="24"/>
          <w:highlight w:val="none"/>
        </w:rPr>
        <w:tab/>
      </w:r>
      <w:r>
        <w:rPr>
          <w:rFonts w:hint="eastAsia" w:ascii="宋体" w:hAnsi="宋体" w:cs="宋体"/>
          <w:color w:val="000000" w:themeColor="text1"/>
          <w:sz w:val="24"/>
          <w:highlight w:val="none"/>
        </w:rPr>
        <w:tab/>
      </w:r>
      <w:r/>
    </w:p>
    <w:p>
      <w:pPr>
        <w:jc w:val="left"/>
        <w:spacing w:line="360" w:lineRule="auto"/>
        <w:tabs>
          <w:tab w:val="left" w:pos="2180" w:leader="none"/>
          <w:tab w:val="left" w:pos="2800" w:leader="none"/>
          <w:tab w:val="left" w:pos="4940" w:leader="none"/>
          <w:tab w:val="left" w:pos="6940" w:leader="none"/>
          <w:tab w:val="left" w:pos="7960" w:leader="none"/>
          <w:tab w:val="left" w:pos="9500" w:leader="none"/>
          <w:tab w:val="left" w:pos="99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人民币(大写)</w:t>
      </w:r>
      <w:r>
        <w:rPr>
          <w:rFonts w:hint="eastAsia" w:ascii="宋体" w:hAnsi="宋体" w:cs="宋体"/>
          <w:color w:val="000000" w:themeColor="text1"/>
          <w:sz w:val="24"/>
          <w:highlight w:val="none"/>
          <w:u w:val="single"/>
        </w:rPr>
        <w:tab/>
      </w:r>
      <w:r>
        <w:rPr>
          <w:rFonts w:hint="eastAsia" w:ascii="宋体" w:hAnsi="宋体" w:cs="宋体"/>
          <w:color w:val="000000" w:themeColor="text1"/>
          <w:sz w:val="24"/>
          <w:highlight w:val="none"/>
          <w:u w:val="single"/>
        </w:rPr>
        <w:tab/>
      </w:r>
      <w:r>
        <w:rPr>
          <w:rFonts w:hint="eastAsia" w:ascii="宋体" w:hAnsi="宋体" w:cs="宋体"/>
          <w:color w:val="000000" w:themeColor="text1"/>
          <w:sz w:val="24"/>
          <w:highlight w:val="none"/>
          <w:u w:val="single"/>
        </w:rPr>
        <w:t xml:space="preserve"> (¥        元)</w:t>
      </w:r>
      <w:r/>
    </w:p>
    <w:p>
      <w:pPr>
        <w:ind w:right="7320" w:firstLine="51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其中：</w:t>
      </w:r>
      <w:r/>
    </w:p>
    <w:p>
      <w:pPr>
        <w:ind w:firstLine="480"/>
        <w:jc w:val="left"/>
        <w:spacing w:line="360" w:lineRule="auto"/>
        <w:tabs>
          <w:tab w:val="left" w:pos="7560" w:leader="none"/>
          <w:tab w:val="left" w:pos="99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(1)材料和工程设备暂估价金额：</w:t>
      </w:r>
      <w:r/>
    </w:p>
    <w:p>
      <w:pPr>
        <w:jc w:val="left"/>
        <w:spacing w:line="360" w:lineRule="auto"/>
        <w:tabs>
          <w:tab w:val="left" w:pos="7560" w:leader="none"/>
          <w:tab w:val="left" w:pos="99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人民币(大写) </w:t>
      </w:r>
      <w:r>
        <w:rPr>
          <w:rFonts w:hint="eastAsia" w:ascii="宋体" w:hAnsi="宋体" w:cs="宋体"/>
          <w:color w:val="000000" w:themeColor="text1"/>
          <w:sz w:val="24"/>
          <w:highlight w:val="none"/>
          <w:u w:val="single"/>
        </w:rPr>
        <w:t xml:space="preserve">          (¥         元)</w:t>
      </w:r>
      <w:r/>
    </w:p>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(2)专业工程暂估价金额：</w:t>
      </w:r>
      <w:r/>
    </w:p>
    <w:p>
      <w:pPr>
        <w:jc w:val="left"/>
        <w:spacing w:line="360" w:lineRule="auto"/>
        <w:tabs>
          <w:tab w:val="left" w:pos="6820" w:leader="none"/>
          <w:tab w:val="left" w:pos="99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人民币(大写)</w:t>
      </w:r>
      <w:r>
        <w:rPr>
          <w:rFonts w:hint="eastAsia" w:ascii="宋体" w:hAnsi="宋体" w:cs="宋体"/>
          <w:color w:val="000000" w:themeColor="text1"/>
          <w:sz w:val="24"/>
          <w:highlight w:val="none"/>
          <w:u w:val="single"/>
        </w:rPr>
        <w:t xml:space="preserve">(¥元)</w:t>
      </w:r>
      <w:r/>
    </w:p>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(3)暂列金额：</w:t>
      </w:r>
      <w:r/>
    </w:p>
    <w:p>
      <w:pPr>
        <w:jc w:val="left"/>
        <w:spacing w:line="360" w:lineRule="auto"/>
        <w:tabs>
          <w:tab w:val="left" w:pos="4265" w:leader="none"/>
          <w:tab w:val="left" w:pos="6730" w:leader="none"/>
          <w:tab w:val="left" w:pos="7960" w:leader="none"/>
          <w:tab w:val="left" w:pos="99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人民币(大写)</w:t>
      </w:r>
      <w:r>
        <w:rPr>
          <w:rFonts w:hint="eastAsia" w:ascii="宋体" w:hAnsi="宋体" w:cs="宋体"/>
          <w:color w:val="000000" w:themeColor="text1"/>
          <w:sz w:val="24"/>
          <w:highlight w:val="none"/>
          <w:u w:val="single"/>
        </w:rPr>
        <w:t xml:space="preserve">          (¥         元)</w:t>
      </w:r>
      <w:r/>
    </w:p>
    <w:p>
      <w:pPr>
        <w:jc w:val="left"/>
        <w:spacing w:line="360" w:lineRule="auto"/>
        <w:tabs>
          <w:tab w:val="left" w:pos="1971" w:leader="none"/>
          <w:tab w:val="left" w:pos="4572" w:leader="none"/>
          <w:tab w:val="left" w:pos="5292" w:leader="none"/>
          <w:tab w:val="left" w:pos="7960" w:leader="none"/>
          <w:tab w:val="left" w:pos="99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2.合同价格形式： </w:t>
      </w:r>
      <w:r>
        <w:rPr>
          <w:rFonts w:hint="eastAsia" w:ascii="宋体" w:hAnsi="宋体" w:cs="宋体"/>
          <w:color w:val="000000" w:themeColor="text1"/>
          <w:sz w:val="24"/>
          <w:highlight w:val="none"/>
          <w:u w:val="single"/>
        </w:rPr>
        <w:t xml:space="preserve">          。</w:t>
      </w:r>
      <w:r/>
    </w:p>
    <w:p>
      <w:pPr>
        <w:jc w:val="left"/>
        <w:spacing w:line="360" w:lineRule="auto"/>
        <w:tabs>
          <w:tab w:val="left" w:pos="2900" w:leader="none"/>
          <w:tab w:val="left" w:pos="7580" w:leader="none"/>
          <w:tab w:val="left" w:pos="7960" w:leader="none"/>
          <w:tab w:val="left" w:pos="99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五、项目经理</w:t>
      </w:r>
      <w:r/>
    </w:p>
    <w:p>
      <w:pPr>
        <w:jc w:val="left"/>
        <w:spacing w:line="360" w:lineRule="auto"/>
        <w:tabs>
          <w:tab w:val="left" w:pos="3888" w:leader="none"/>
          <w:tab w:val="left" w:pos="7835" w:leader="none"/>
          <w:tab w:val="left" w:pos="99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成交供应商项目经理：</w:t>
      </w:r>
      <w:r>
        <w:rPr>
          <w:rFonts w:hint="eastAsia" w:ascii="宋体" w:hAnsi="宋体" w:cs="宋体"/>
          <w:color w:val="000000" w:themeColor="text1"/>
          <w:sz w:val="24"/>
          <w:highlight w:val="none"/>
          <w:u w:val="single"/>
        </w:rPr>
        <w:tab/>
      </w:r>
      <w:r>
        <w:rPr>
          <w:rFonts w:hint="eastAsia" w:ascii="宋体" w:hAnsi="宋体" w:cs="宋体"/>
          <w:color w:val="000000" w:themeColor="text1"/>
          <w:sz w:val="24"/>
          <w:highlight w:val="none"/>
        </w:rPr>
        <w:t xml:space="preserve">。</w:t>
      </w:r>
      <w:r/>
    </w:p>
    <w:p>
      <w:pPr>
        <w:jc w:val="left"/>
        <w:spacing w:line="360" w:lineRule="auto"/>
        <w:tabs>
          <w:tab w:val="left" w:pos="2900" w:leader="none"/>
          <w:tab w:val="left" w:pos="7580" w:leader="none"/>
          <w:tab w:val="left" w:pos="7960" w:leader="none"/>
          <w:tab w:val="left" w:pos="99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六、合同文件构成</w:t>
      </w:r>
      <w:r/>
    </w:p>
    <w:p>
      <w:pPr>
        <w:ind w:right="-37"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本协议书与下列文件一起构成合同文件：</w:t>
      </w:r>
      <w:r/>
    </w:p>
    <w:p>
      <w:pPr>
        <w:ind w:left="510" w:right="-37"/>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（1）成交通知书（如果有）</w:t>
      </w:r>
      <w:r/>
    </w:p>
    <w:p>
      <w:pPr>
        <w:ind w:right="5040" w:firstLine="51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（2）投标函及其附录（如果有）；</w:t>
      </w:r>
      <w:r/>
    </w:p>
    <w:p>
      <w:pPr>
        <w:ind w:right="5040" w:firstLine="51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（3）专用合同条款及其附件；</w:t>
      </w:r>
      <w:r/>
    </w:p>
    <w:p>
      <w:pPr>
        <w:ind w:right="5040" w:firstLine="51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（4）通用合同条款；</w:t>
      </w:r>
      <w:r/>
    </w:p>
    <w:p>
      <w:pPr>
        <w:ind w:right="5040" w:firstLine="51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（5）技术标准和要求； 　　</w:t>
      </w:r>
      <w:r/>
    </w:p>
    <w:p>
      <w:pPr>
        <w:ind w:right="5040" w:firstLine="51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（6）图纸；</w:t>
      </w:r>
      <w:r/>
    </w:p>
    <w:p>
      <w:pPr>
        <w:ind w:right="-37" w:firstLine="51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（7）已标价工程量清单或预算书； 　　</w:t>
      </w:r>
      <w:r/>
    </w:p>
    <w:p>
      <w:pPr>
        <w:ind w:right="5040" w:firstLine="51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（8）其他合同文件。</w:t>
      </w:r>
      <w:r/>
    </w:p>
    <w:p>
      <w:pPr>
        <w:ind w:right="80"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在合同订立及履行过程中形成的与合同有关的文件均构成合同文件组成部分。 　　</w:t>
      </w:r>
      <w:r/>
    </w:p>
    <w:p>
      <w:pPr>
        <w:ind w:right="140"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right="140" w:firstLine="51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七、承诺</w:t>
      </w:r>
      <w:r/>
    </w:p>
    <w:p>
      <w:pPr>
        <w:ind w:right="140" w:firstLine="51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1.发包人承诺按照法律规定履行项目审批手续、筹集工程建设资金并按照合同约定的 期限和方式支付合同价款。 　　</w:t>
      </w:r>
      <w:r/>
    </w:p>
    <w:p>
      <w:pPr>
        <w:ind w:right="140" w:firstLine="51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2.承包人承诺按照法律规定及合同约定组织完成工程施工，确保工程质量和安全，不进行转包及违法分包，并在缺陷责任期及保修期内承担相应的工程维修责任。 　　</w:t>
      </w:r>
      <w:r/>
    </w:p>
    <w:p>
      <w:pPr>
        <w:ind w:right="140" w:firstLine="51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3.发包人和承包人通过招投标形式签订合同的，双方理解并承诺不再就同一工程另行 签订与合同实质性内容相背离的协议。</w:t>
      </w:r>
      <w:r/>
    </w:p>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八、词语含义</w:t>
      </w:r>
      <w:r/>
    </w:p>
    <w:p>
      <w:pPr>
        <w:ind w:left="345" w:hanging="24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本协议书在供应商接到成交通知书后，须在3个工作日内，来盐城市公安局签订合同。本合同于（日期）签订。</w:t>
      </w:r>
      <w:r/>
    </w:p>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九、签订时间</w:t>
      </w:r>
      <w:r/>
    </w:p>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本合同于</w:t>
      </w:r>
      <w:r>
        <w:rPr>
          <w:rFonts w:hint="eastAsia" w:ascii="宋体" w:hAnsi="宋体" w:cs="宋体"/>
          <w:color w:val="000000" w:themeColor="text1"/>
          <w:sz w:val="24"/>
          <w:highlight w:val="none"/>
          <w:u w:val="single"/>
        </w:rPr>
        <w:t xml:space="preserve">年   月   日</w:t>
      </w:r>
      <w:r>
        <w:rPr>
          <w:rFonts w:hint="eastAsia" w:ascii="宋体" w:hAnsi="宋体" w:cs="宋体"/>
          <w:color w:val="000000" w:themeColor="text1"/>
          <w:sz w:val="24"/>
          <w:highlight w:val="none"/>
        </w:rPr>
        <w:t xml:space="preserve">签订。</w:t>
      </w:r>
      <w:r/>
    </w:p>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十、签订地点</w:t>
      </w:r>
      <w:r/>
    </w:p>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本合同在盐城市公安局签订。</w:t>
      </w:r>
      <w:r/>
    </w:p>
    <w:p>
      <w:pPr>
        <w:ind w:firstLine="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十一、补充协议 　　</w:t>
      </w:r>
      <w:r/>
    </w:p>
    <w:p>
      <w:pPr>
        <w:ind w:left="630" w:hanging="12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合同未尽事宜，合同当事人另行签订补充协议，补充协议是合同的组成部分。 </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十二、合同生效 　　</w:t>
      </w:r>
      <w:r/>
    </w:p>
    <w:p>
      <w:pPr>
        <w:ind w:left="630" w:hanging="12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本合同自双方签字盖章后生效。</w:t>
      </w:r>
      <w:r/>
    </w:p>
    <w:p>
      <w:pPr>
        <w:ind w:right="1240" w:firstLine="51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十三、合同份数 　　</w:t>
      </w:r>
      <w:r/>
    </w:p>
    <w:p>
      <w:pPr>
        <w:ind w:right="-37" w:firstLine="51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本合同一式陆份，均具有同等法律效力， 发包人执叁份，承包人执叁份。</w:t>
      </w:r>
      <w:r/>
    </w:p>
    <w:p>
      <w:pPr>
        <w:ind w:firstLine="24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发包人：  (公章)                             承包人：  (公章)</w:t>
      </w:r>
      <w:r/>
    </w:p>
    <w:p>
      <w:pPr>
        <w:ind w:firstLine="24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法定代表人或其委托代理人：                   法定代表人或其委托代理人：</w:t>
      </w:r>
      <w:r/>
    </w:p>
    <w:p>
      <w:pPr>
        <w:ind w:firstLine="12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（签字）                                     （签字）</w:t>
      </w:r>
      <w:r/>
    </w:p>
    <w:p>
      <w:pPr>
        <w:ind w:firstLine="240"/>
        <w:spacing w:line="360" w:lineRule="auto"/>
        <w:tabs>
          <w:tab w:val="left" w:pos="441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组织机构代码：                        组织机构代码：</w:t>
      </w:r>
      <w:r/>
    </w:p>
    <w:p>
      <w:pPr>
        <w:ind w:firstLine="24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  址：                      地  址：</w:t>
      </w:r>
      <w:r/>
    </w:p>
    <w:p>
      <w:pPr>
        <w:ind w:firstLine="24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邮政编码：                      邮政编码：</w:t>
      </w:r>
      <w:r/>
    </w:p>
    <w:p>
      <w:pPr>
        <w:ind w:firstLine="24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                            法定代表人：</w:t>
      </w:r>
      <w:r/>
    </w:p>
    <w:p>
      <w:pPr>
        <w:ind w:firstLine="24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委托代理人：                            委托代理人：</w:t>
      </w:r>
      <w:r/>
    </w:p>
    <w:p>
      <w:pPr>
        <w:ind w:firstLine="24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  话：                    电  话：</w:t>
      </w:r>
      <w:r/>
    </w:p>
    <w:p>
      <w:pPr>
        <w:ind w:firstLine="24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传  真：                    传  真：</w:t>
      </w:r>
      <w:r/>
    </w:p>
    <w:p>
      <w:pPr>
        <w:ind w:firstLine="24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电子信箱：                                  电子信箱：</w:t>
      </w:r>
      <w:r/>
    </w:p>
    <w:p>
      <w:pPr>
        <w:ind w:firstLine="24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                    开户银行：</w:t>
      </w:r>
      <w:r/>
    </w:p>
    <w:p>
      <w:pPr>
        <w:ind w:firstLine="240"/>
        <w:spacing w:line="360" w:lineRule="auto"/>
        <w:rPr>
          <w:rFonts w:ascii="宋体" w:hAnsi="宋体" w:cs="宋体"/>
          <w:b/>
          <w:color w:val="000000" w:themeColor="text1"/>
          <w:sz w:val="24"/>
          <w:highlight w:val="none"/>
        </w:rPr>
      </w:pPr>
      <w:r>
        <w:rPr>
          <w:rFonts w:hint="eastAsia" w:ascii="宋体" w:hAnsi="宋体" w:cs="宋体"/>
          <w:color w:val="000000" w:themeColor="text1"/>
          <w:sz w:val="24"/>
          <w:highlight w:val="none"/>
        </w:rPr>
        <w:t xml:space="preserve">账  号：                        账  号：</w:t>
      </w:r>
      <w:bookmarkStart w:id="219" w:name="_Toc509844741"/>
      <w:r/>
      <w:r/>
    </w:p>
    <w:p>
      <w:pPr>
        <w:jc w:val="center"/>
        <w:keepLines/>
        <w:keepNext/>
        <w:spacing w:before="260" w:after="260" w:line="420" w:lineRule="exact"/>
        <w:tabs>
          <w:tab w:val="left" w:pos="1335" w:leader="none"/>
        </w:tabs>
        <w:rPr>
          <w:rFonts w:ascii="宋体" w:hAnsi="宋体" w:cs="宋体"/>
          <w:b/>
          <w:color w:val="000000" w:themeColor="text1"/>
          <w:sz w:val="24"/>
          <w:highlight w:val="none"/>
        </w:rPr>
        <w:outlineLvl w:val="1"/>
      </w:pPr>
      <w:r>
        <w:rPr>
          <w:rFonts w:hint="eastAsia" w:ascii="宋体" w:hAnsi="宋体" w:cs="宋体"/>
          <w:b/>
          <w:color w:val="000000" w:themeColor="text1"/>
          <w:sz w:val="24"/>
          <w:highlight w:val="none"/>
        </w:rPr>
        <w:br w:type="page" w:clear="all"/>
      </w:r>
      <w:bookmarkStart w:id="220" w:name="_Toc28299"/>
      <w:r>
        <w:rPr>
          <w:rFonts w:hint="eastAsia" w:ascii="宋体" w:hAnsi="宋体" w:cs="宋体"/>
          <w:b/>
          <w:color w:val="000000" w:themeColor="text1"/>
          <w:sz w:val="24"/>
          <w:highlight w:val="none"/>
        </w:rPr>
        <w:t xml:space="preserve">通用合同条款</w:t>
      </w:r>
      <w:bookmarkEnd w:id="219"/>
      <w:r/>
      <w:bookmarkEnd w:id="220"/>
      <w: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同建设工程施工合同（示范文本）（GF—2017—0201）内的通用合同条款。</w:t>
      </w:r>
      <w:r/>
    </w:p>
    <w:p>
      <w:pPr>
        <w:jc w:val="center"/>
        <w:keepLines/>
        <w:keepNext/>
        <w:spacing w:before="260" w:after="260" w:line="360" w:lineRule="auto"/>
        <w:rPr>
          <w:rFonts w:ascii="宋体" w:hAnsi="宋体" w:cs="宋体"/>
          <w:b/>
          <w:color w:val="000000" w:themeColor="text1"/>
          <w:sz w:val="24"/>
          <w:highlight w:val="none"/>
        </w:rPr>
        <w:outlineLvl w:val="1"/>
      </w:pPr>
      <w:r/>
      <w:bookmarkStart w:id="221" w:name="_Toc28319"/>
      <w:r/>
      <w:bookmarkStart w:id="222" w:name="_Toc509844742"/>
      <w:r>
        <w:rPr>
          <w:rFonts w:hint="eastAsia" w:ascii="宋体" w:hAnsi="宋体" w:cs="宋体"/>
          <w:b/>
          <w:color w:val="000000" w:themeColor="text1"/>
          <w:sz w:val="24"/>
          <w:highlight w:val="none"/>
        </w:rPr>
        <w:t xml:space="preserve">专用合同条款</w:t>
      </w:r>
      <w:bookmarkEnd w:id="221"/>
      <w:r/>
      <w:bookmarkEnd w:id="222"/>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 一般约定</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 词语定义</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1.1.1合同</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1.1.1其他合同文件包括：本工程磋商文件、合同履行过程中双方确认的对合同有影响的会议纪要、签证、施工方案、设计变更等相关材料。</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1.1.2 合同当事人及其他相关方</w:t>
      </w:r>
      <w:r/>
    </w:p>
    <w:p>
      <w:pPr>
        <w:ind w:firstLine="480"/>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名    称：</w:t>
      </w:r>
      <w:r>
        <w:rPr>
          <w:rFonts w:hint="eastAsia" w:ascii="宋体" w:hAnsi="宋体" w:cs="宋体"/>
          <w:color w:val="000000" w:themeColor="text1"/>
          <w:sz w:val="24"/>
          <w:highlight w:val="none"/>
          <w:u w:val="single"/>
        </w:rPr>
        <w:t xml:space="preserve">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资质类别和等级：</w:t>
      </w:r>
      <w:r>
        <w:rPr>
          <w:rFonts w:hint="eastAsia" w:ascii="宋体" w:hAnsi="宋体" w:cs="宋体"/>
          <w:color w:val="000000" w:themeColor="text1"/>
          <w:sz w:val="24"/>
          <w:highlight w:val="none"/>
          <w:u w:val="single"/>
        </w:rPr>
        <w:t xml:space="preserve">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w:t>
      </w:r>
      <w:r>
        <w:rPr>
          <w:rFonts w:hint="eastAsia" w:ascii="宋体" w:hAnsi="宋体" w:cs="宋体"/>
          <w:color w:val="000000" w:themeColor="text1"/>
          <w:sz w:val="24"/>
          <w:highlight w:val="none"/>
          <w:u w:val="single"/>
        </w:rPr>
        <w:t xml:space="preserve">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电子信箱：</w:t>
      </w:r>
      <w:r>
        <w:rPr>
          <w:rFonts w:hint="eastAsia" w:ascii="宋体" w:hAnsi="宋体" w:cs="宋体"/>
          <w:color w:val="000000" w:themeColor="text1"/>
          <w:sz w:val="24"/>
          <w:highlight w:val="none"/>
          <w:u w:val="single"/>
        </w:rPr>
        <w:t xml:space="preserve">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通信地址：。</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设计人：</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名    称：；</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资质类别和等级：；</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电子信箱：；</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通信地址：。</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1.1.3 工程和设备</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1.1.3.7 作为施工现场组成部分的其他场所包括：</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1.1.3.9 永久占地包括：</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1.1.3.10 临时占地包括：</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1.3法律 </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适用于合同的其他规范性文件：</w:t>
      </w: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1 \* GB3</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①</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《中华人民共和国民法典》；</w:t>
      </w: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2 \* GB3</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②</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《中华人民共和国建筑法》；</w:t>
      </w: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3 \* GB3</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③</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《中华人民共和国政府采购法》；</w:t>
      </w: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4 \* GB3</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④</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《建设工程质量管理条例》；</w:t>
      </w: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5 \* GB3</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⑤</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《中华人民共和国安全生产法》；</w:t>
      </w: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6 \* GB3</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⑥</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国家关于建设工程款结算的有关规定；</w:t>
      </w: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7 \* GB3</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⑦</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盐城市相关的法规和政策文件等。</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 标准和规范</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1.4.1适用于工程的标准规范包括：国家标准、行业标准、工程所在地的地方标准以及相应的规范、规程等。</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1.4.2 发包人提供国外标准、规范的名称： </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发包人提供国外标准、规范的份数：</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发包人提供国外标准、规范的名称：</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1.4.3发包人对工程的技术标准和功能要求的特殊要求： </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 合同文件的优先顺序</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合同文件组成及优先顺序为：按通用条款。</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1.6 图纸和承包人文件</w:t>
      </w:r>
      <w:r>
        <w:rPr>
          <w:rFonts w:hint="eastAsia" w:ascii="宋体" w:hAnsi="宋体" w:cs="宋体"/>
          <w:color w:val="000000" w:themeColor="text1"/>
          <w:sz w:val="24"/>
          <w:highlight w:val="none"/>
        </w:rPr>
        <w:tab/>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1.6.1 图纸的提供</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发包人向承包人提供图纸的期限：</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发包人向承包人提供图纸的数量：</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发包人向承包人提供图纸的内容：</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1.6.4 承包人文件</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需要由承包人提供的文件，包括：施工组织设计、专项方案等，以及发包人、监理要求提供的其他资料。</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成交供应商提供的文件的期限为：施工进场三天前；</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成交供应商提供的文件的数量为：根据发包人要求；</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成交供应商提供的文件的形式为：书面及电子版；</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发包人审批承包人文件的期限：天。</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1.6.5 现场图纸准备</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关于现场图纸准备的约定：</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 联络</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1.7.1发包人和成交供应商应当在天内将与合同有关的通知、批准、证明、证书、指示、指令、要求、请求、同意、意见、确定和决定等书面函件送达对方当事人。</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1.7.2 发包人接收文件的地点：施工现场。</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发包人指定的接收人为： 现场代表。</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成交供应商接收文件的地点：施工现场。</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成交供应商指定的接收人为：项目负责人。</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监理人接收文件的地点：施工现场。</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监理人指定的接收人为： 总监理工程师。</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1.10 交通运输</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1.10.1 出入现场的权利</w:t>
      </w:r>
      <w:r/>
    </w:p>
    <w:p>
      <w:pPr>
        <w:ind w:firstLine="36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关于出入现场的权</w:t>
      </w:r>
      <w:r>
        <w:rPr>
          <w:rFonts w:hint="eastAsia" w:ascii="宋体" w:hAnsi="宋体" w:cs="宋体"/>
          <w:color w:val="000000" w:themeColor="text1"/>
          <w:sz w:val="24"/>
          <w:highlight w:val="none"/>
        </w:rPr>
        <w:t xml:space="preserve">利的约定：根据施工需要，成交供应商负责取得出入施工现场所需的批准手续和全部权利，以及取得因施工所需修建道路桥梁以及其他基础设施的权利，并承担相关手续费用和建设费用。成交供应商应遵守有关交通法规，严格按照道路和桥梁的限制荷载行驶，执行有关道路限速、限行、禁止超载的规定，并配合交通管理部门的监督和检查。场内、外交通设施无法满足工程施工需要的，由成交供应商负责完善并承担相关费用。因承包人原因造成上述道路或交通设施损坏的，成交供应商负责修复并承担由此增加的费用。在影响主要道路交通时及时向发包人汇报并听从发包人安排。</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1.10.3 场内交通</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关于场外交通和场内交通的边界的约定：以项目规划红线为界。</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关于发包人向承包人免费提供满足工程施工需要的场内道路和交通设施的约定：现状地面移交，不能满足施工要求的，成交供应商综合考虑并自行承担相关费用。</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1.10.4超大件和超重件的运输</w:t>
      </w:r>
      <w:r/>
    </w:p>
    <w:p>
      <w:pPr>
        <w:ind w:left="105" w:firstLine="36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运输超大件或超重件所需的道路和桥梁临时加固改造费用和其他有关费用由成交供应商承担。</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1.11 知识产权</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1.11.1关于采购人提供给承包人的图纸、发包人为实施工程自行编制或委托编制的技术规范以及反映发包人关于合同要求或其他类似性质的文件的著作权的归属：采购人。</w:t>
      </w:r>
      <w:r/>
    </w:p>
    <w:p>
      <w:pPr>
        <w:ind w:firstLine="36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关于发采购人提供的上述文件的使用限制的要求：  /   。</w:t>
      </w:r>
      <w:r/>
    </w:p>
    <w:p>
      <w:pPr>
        <w:ind w:left="105" w:firstLine="36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1.11.2 关于成交供应商为实施工程所编制文件的著作权的归属： 采购人  。</w:t>
      </w:r>
      <w:r/>
    </w:p>
    <w:p>
      <w:pPr>
        <w:ind w:left="105" w:firstLine="36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关于成交供应商提供的上述文件的使用限制的要求：/   。</w:t>
      </w:r>
      <w:r/>
    </w:p>
    <w:p>
      <w:pPr>
        <w:ind w:left="105" w:firstLine="36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1.11.4 成交供应商在施工过程中所采用的专利、专有技术、技术秘密的使用费的承担方式：/ 。</w:t>
      </w:r>
      <w:r/>
    </w:p>
    <w:p>
      <w:pPr>
        <w:ind w:left="105" w:firstLine="36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1.13工程量清单错误的修正</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1.13.1出现工程量清单错误时，是否调整合同价格：是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1.13.2允许调整合同价格的工程量偏差范围：见施工合同专用条款第12条。</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2.采购人</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 采购人代表</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发包人代表：</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    名：；</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    务：；</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采购人对发包人代表的授权范围如下：代表发包人负责整体工程协调管理、批准所有签证及变更方案实施。</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 施工现场、施工条件和基础资料的提供。</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2.4.1 提供施工现场</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关于发包人移交施工现场的期限要求：。</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2.4.2 提供施工条件</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关于采购人应负责提供施工所需要的条件，包括：按现状条件发包。</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2.5 资金来源证明及支付担保</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采购人提供资金来源证明的期限要求：</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采购人是否提供支付担保：</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采购人提供支付担保的形式：</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3.成交供应商</w:t>
      </w:r>
      <w:r/>
    </w:p>
    <w:p>
      <w:pPr>
        <w:ind w:firstLine="480"/>
        <w:spacing w:line="360" w:lineRule="auto"/>
        <w:rPr>
          <w:color w:val="000000" w:themeColor="text1"/>
          <w:highlight w:val="none"/>
        </w:rPr>
      </w:pPr>
      <w:r>
        <w:rPr>
          <w:rFonts w:hint="eastAsia" w:ascii="宋体" w:hAnsi="宋体" w:cs="宋体"/>
          <w:color w:val="000000" w:themeColor="text1"/>
          <w:sz w:val="24"/>
          <w:highlight w:val="none"/>
        </w:rPr>
        <w:t xml:space="preserve">3.1 成交供应商的一般义务</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eastAsia="en-US"/>
        </w:rPr>
        <w:t xml:space="preserve">（1）</w:t>
      </w:r>
      <w:r>
        <w:rPr>
          <w:rFonts w:hint="eastAsia" w:ascii="宋体" w:hAnsi="宋体" w:cs="宋体"/>
          <w:color w:val="000000" w:themeColor="text1"/>
          <w:sz w:val="24"/>
          <w:highlight w:val="none"/>
        </w:rPr>
        <w:t xml:space="preserve">乙方</w:t>
      </w:r>
      <w:r>
        <w:rPr>
          <w:rFonts w:hint="eastAsia" w:ascii="宋体" w:hAnsi="宋体" w:cs="宋体"/>
          <w:color w:val="000000" w:themeColor="text1"/>
          <w:sz w:val="24"/>
          <w:highlight w:val="none"/>
          <w:lang w:eastAsia="en-US"/>
        </w:rPr>
        <w:t xml:space="preserve">应办理该项目相关的证件</w:t>
      </w:r>
      <w:r>
        <w:rPr>
          <w:rFonts w:hint="eastAsia" w:ascii="宋体" w:hAnsi="宋体" w:cs="宋体"/>
          <w:color w:val="000000" w:themeColor="text1"/>
          <w:sz w:val="24"/>
          <w:highlight w:val="none"/>
        </w:rPr>
        <w:t xml:space="preserve">(包括但不限于</w:t>
      </w:r>
      <w:r>
        <w:rPr>
          <w:rFonts w:hint="eastAsia" w:ascii="宋体" w:hAnsi="宋体" w:cs="宋体"/>
          <w:color w:val="000000" w:themeColor="text1"/>
          <w:sz w:val="24"/>
          <w:highlight w:val="none"/>
          <w:lang w:eastAsia="en-US"/>
        </w:rPr>
        <w:t xml:space="preserve">施工许可和批准</w:t>
      </w:r>
      <w:r>
        <w:rPr>
          <w:rFonts w:hint="eastAsia" w:ascii="宋体" w:hAnsi="宋体" w:cs="宋体"/>
          <w:color w:val="000000" w:themeColor="text1"/>
          <w:sz w:val="24"/>
          <w:highlight w:val="none"/>
        </w:rPr>
        <w:t xml:space="preserve">等)</w:t>
      </w:r>
      <w:r>
        <w:rPr>
          <w:rFonts w:hint="eastAsia" w:ascii="宋体" w:hAnsi="宋体" w:cs="宋体"/>
          <w:color w:val="000000" w:themeColor="text1"/>
          <w:sz w:val="24"/>
          <w:highlight w:val="none"/>
          <w:lang w:eastAsia="en-US"/>
        </w:rPr>
        <w:t xml:space="preserve">，甲方提供必要的协助，费用由</w:t>
      </w:r>
      <w:r>
        <w:rPr>
          <w:rFonts w:hint="eastAsia" w:ascii="宋体" w:hAnsi="宋体" w:cs="宋体"/>
          <w:color w:val="000000" w:themeColor="text1"/>
          <w:sz w:val="24"/>
          <w:highlight w:val="none"/>
        </w:rPr>
        <w:t xml:space="preserve">乙方</w:t>
      </w:r>
      <w:r>
        <w:rPr>
          <w:rFonts w:hint="eastAsia" w:ascii="宋体" w:hAnsi="宋体" w:cs="宋体"/>
          <w:color w:val="000000" w:themeColor="text1"/>
          <w:sz w:val="24"/>
          <w:highlight w:val="none"/>
          <w:lang w:eastAsia="en-US"/>
        </w:rPr>
        <w:t xml:space="preserve">承担，办</w:t>
      </w:r>
      <w:r>
        <w:rPr>
          <w:rFonts w:ascii="宋体" w:hAnsi="宋体" w:cs="宋体"/>
          <w:color w:val="000000" w:themeColor="text1"/>
          <w:sz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784225</wp:posOffset>
                </wp:positionH>
                <wp:positionV relativeFrom="page">
                  <wp:posOffset>581025</wp:posOffset>
                </wp:positionV>
                <wp:extent cx="6296660" cy="63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296660" cy="6350"/>
                        </a:xfrm>
                        <a:custGeom>
                          <a:avLst/>
                          <a:gdLst>
                            <a:gd name="gd0" fmla="val 65536"/>
                            <a:gd name="gd1" fmla="val 5"/>
                            <a:gd name="gd2" fmla="val 5"/>
                            <a:gd name="gd3" fmla="val 4957"/>
                            <a:gd name="gd4" fmla="val 5"/>
                            <a:gd name="gd5" fmla="val 4957"/>
                            <a:gd name="gd6" fmla="val 5"/>
                            <a:gd name="gd7" fmla="val 9910"/>
                            <a:gd name="gd8" fmla="val 5"/>
                            <a:gd name="gd9" fmla="*/ w 0 9915"/>
                            <a:gd name="gd10" fmla="*/ h 0 10"/>
                            <a:gd name="gd11" fmla="*/ w 9915 9915"/>
                            <a:gd name="gd12" fmla="*/ h 10 10"/>
                          </a:gdLst>
                          <a:ahLst/>
                          <a:cxnLst/>
                          <a:rect l="gd9" t="gd10" r="gd11" b="gd12"/>
                          <a:pathLst>
                            <a:path w="9915" h="10" fill="norm" stroke="1" extrusionOk="0">
                              <a:moveTo>
                                <a:pt x="gd1" y="gd2"/>
                              </a:moveTo>
                              <a:lnTo>
                                <a:pt x="gd3" y="gd4"/>
                              </a:lnTo>
                              <a:moveTo>
                                <a:pt x="gd5" y="gd6"/>
                              </a:moveTo>
                              <a:lnTo>
                                <a:pt x="gd7" y="gd8"/>
                              </a:lnTo>
                            </a:path>
                            <a:path w="9915" h="10" fill="norm" stroke="1" extrusionOk="0"/>
                          </a:pathLst>
                        </a:custGeom>
                        <a:noFill/>
                        <a:ln cap="sq">
                          <a:solidFill>
                            <a:srgbClr val="000000"/>
                          </a:solidFill>
                          <a:miter/>
                        </a:ln>
                      </wps:spPr>
                      <wps:bodyPr rot="0">
                        <a:prstTxWarp prst="textNoShape">
                          <a:avLst/>
                        </a:prstTxWarp>
                        <a:noAutofit/>
                      </wps:bodyPr>
                    </wps:wsp>
                  </a:graphicData>
                </a:graphic>
              </wp:anchor>
            </w:drawing>
          </mc:Choice>
          <mc:Fallback>
            <w:pict>
              <v:shape id="shape 2" o:spid="_x0000_s2" style="position:absolute;z-index:251661312;o:allowoverlap:true;o:allowincell:false;mso-position-horizontal-relative:page;margin-left:61.8pt;mso-position-horizontal:absolute;mso-position-vertical-relative:page;margin-top:45.8pt;mso-position-vertical:absolute;width:495.8pt;height:0.5pt;mso-wrap-distance-left:9.0pt;mso-wrap-distance-top:0.0pt;mso-wrap-distance-right:9.0pt;mso-wrap-distance-bottom:0.0pt;visibility:visible;" path="m49,50000l49993,50000m49993,50000l99949,50000ee" coordsize="100000,100000" filled="f" strokecolor="#000000">
                <v:path textboxrect="0,0,100000,100000"/>
              </v:shape>
            </w:pict>
          </mc:Fallback>
        </mc:AlternateContent>
      </w:r>
      <w:r>
        <w:rPr>
          <w:rFonts w:hint="eastAsia" w:ascii="宋体" w:hAnsi="宋体" w:cs="宋体"/>
          <w:color w:val="000000" w:themeColor="text1"/>
          <w:sz w:val="24"/>
          <w:highlight w:val="none"/>
          <w:lang w:eastAsia="en-US"/>
        </w:rPr>
        <w:t xml:space="preserve">理结果书面报送</w:t>
      </w:r>
      <w:r>
        <w:rPr>
          <w:rFonts w:hint="eastAsia" w:ascii="宋体" w:hAnsi="宋体" w:cs="宋体"/>
          <w:color w:val="000000" w:themeColor="text1"/>
          <w:sz w:val="24"/>
          <w:highlight w:val="none"/>
        </w:rPr>
        <w:t xml:space="preserve">甲方</w:t>
      </w:r>
      <w:r>
        <w:rPr>
          <w:rFonts w:hint="eastAsia" w:ascii="宋体" w:hAnsi="宋体" w:cs="宋体"/>
          <w:color w:val="000000" w:themeColor="text1"/>
          <w:sz w:val="24"/>
          <w:highlight w:val="none"/>
          <w:lang w:eastAsia="en-US"/>
        </w:rPr>
        <w:t xml:space="preserve">留存</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（2）成交供应商提交的竣工资料的内容：按采购人要求提交全套施工资料及竣工图。</w:t>
      </w:r>
      <w:r/>
    </w:p>
    <w:p>
      <w:pPr>
        <w:ind w:firstLine="60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成交供应商需要提交的竣工资料套数： 。</w:t>
      </w:r>
      <w:r/>
    </w:p>
    <w:p>
      <w:pPr>
        <w:ind w:firstLine="60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成交供应商提交的竣工资料的费用承担：由承包人负责。</w:t>
      </w:r>
      <w:r/>
    </w:p>
    <w:p>
      <w:pPr>
        <w:ind w:firstLine="60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成交供应商提交的竣工资料移交时间：工程竣工验收合格后日内。</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成交供应商提交的竣工资料形式要求：书面资料及电子档资料。</w:t>
      </w:r>
      <w:r/>
    </w:p>
    <w:p>
      <w:pPr>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（3）成交供应商应履行的其他义务：1)承包人须制定详细的施工计划（须包含设计变更审批、设备变更审签）；2)配合甲方、监理检测所发生的所有费用均包含在合同价中。</w:t>
      </w:r>
      <w:r/>
    </w:p>
    <w:p>
      <w:pPr>
        <w:ind w:firstLine="480"/>
        <w:spacing w:line="360" w:lineRule="auto"/>
        <w:rPr>
          <w:rFonts w:ascii="宋体" w:hAnsi="宋体" w:cs="宋体"/>
          <w:color w:val="000000" w:themeColor="text1"/>
          <w:sz w:val="24"/>
          <w:highlight w:val="none"/>
        </w:rPr>
        <w:outlineLvl w:val="3"/>
      </w:pPr>
      <w:r>
        <w:rPr>
          <w:rFonts w:hint="eastAsia" w:ascii="宋体" w:hAnsi="宋体" w:cs="宋体"/>
          <w:color w:val="000000" w:themeColor="text1"/>
          <w:sz w:val="24"/>
          <w:highlight w:val="none"/>
        </w:rPr>
        <w:t xml:space="preserve">3.2 项目组成员</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3.2.1 项目经理：</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    名：；</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身份证号：；</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建造师执业资格等级：；</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建造师注册证书号：；</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建造师执业印章号：；</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安全生产考核合格证书号：；</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电子信箱：；</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通信地址：；</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3.2.2 技术负责人：</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    名：；</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身份证号：；</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成交供应商对项目经理的授权范围如下：代表成交供应商全面负责施工合同的履行。</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关于项目经理每月在施工现场的时间要求：该工程施工过程中项目经理和投标时确认的项目部人员必须常驻现场实施施工管理。</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成交供应商未提交劳动合同，以及没有为项目经理缴纳社会保险证明的违约责任：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理未经批准，擅自离开施工现场的违约责任：处以每天1000元的扣款，在支付工程款时从应付的工程款中扣除。若擅自离岗达3天以上的，经发包人提出仍未改正的，发包人有权终止合同，因此给发包人造成损失的，发包人将依法追偿。</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3.2.3成交供应商擅自更换项目经理的违约责任：未经采购人同意，采购人可中止合同。</w:t>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3.2.4成交供应商无正当理由拒绝更换项目经理的违约责任： 发包人可中止合同。</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3.3成交供应商人员</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3.3.1成交供应商提交项目管理机构及施工现场管理人员安排报告的期限：进场3日内。</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施工现场主要管理人员：技术负责人，质检员，施工员，安全员。</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3.3.3成交供应商无正当理由拒绝撤换主要施工管理人员的违约责任：采购人可中止合同。</w:t>
      </w:r>
      <w:r/>
    </w:p>
    <w:p>
      <w:pPr>
        <w:ind w:firstLine="36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3.3.4成交供应商主要施工管理人员离开施工现场的批准要求：项目部人员中途如须离开，必须书面申请，且经采购人同意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3.3.5成交供应商擅自更换主要施工管理人员的违约责任：未经采购人同意，采购人可中止合同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3.3.6成交供应商主要施工管理人员擅自离开施工现场的违约责任：若未经采购人同意而擅自离岗的，将处以每人每天500元的扣款，在支付工程款时从应付的工程款中扣除。若擅自离岗达5天以上的，经采购人提出仍未改正的，采购人有权终止合同，因此给采购人造成损失的，采购人将依法追偿。</w:t>
      </w:r>
      <w:r/>
    </w:p>
    <w:p>
      <w:pPr>
        <w:ind w:firstLine="602"/>
        <w:jc w:val="left"/>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注：工程项目部管理人员必须严格按招投标文件要求及时配备到位。所有人员有持证要求的必须持证上岗，在项目经理的统一领导下，尽心尽职地做好本职工作。如不能胜任工作的，采购人将有权建议更换，直到更换至能胜任现场管理工作为止。</w:t>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3.5 分包</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本项目不允许分包</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3.6 工程照管与成品、半成品保护</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成交供应商负责照管工程及工程相关的材料、工程设备的起始时间：从进场直至施工完成交付使用，费用由成交供应商承担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3.7 履约担保</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成交供应商是否提供履约担保：</w:t>
      </w:r>
      <w:r>
        <w:rPr>
          <w:rFonts w:hint="eastAsia" w:ascii="宋体" w:hAnsi="宋体" w:cs="宋体"/>
          <w:color w:val="000000" w:themeColor="text1"/>
          <w:sz w:val="24"/>
          <w:highlight w:val="none"/>
          <w:u w:val="single"/>
        </w:rPr>
        <w:t xml:space="preserve"> 是</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提供履约担保的形式、金额及期限的：本工程履约保证金为标段中标金额的5%，成交供应商在接到中标通知书后，须在3个工作日内（并在签订合同前），将履约保证金以转帐、电汇或银行汇票形式汇转至采购人指定帐户。</w:t>
      </w:r>
      <w:bookmarkStart w:id="223" w:name="_Toc438285002"/>
      <w:r>
        <w:rPr>
          <w:rFonts w:hint="eastAsia" w:ascii="宋体" w:hAnsi="宋体" w:cs="宋体"/>
          <w:color w:val="000000" w:themeColor="text1"/>
          <w:sz w:val="24"/>
          <w:highlight w:val="none"/>
        </w:rPr>
        <w:t xml:space="preserve">如供应商被第三方信用服务机构依据标准规范评定为 AA 级及以上的政府采购供应商（需在签订采购合同前提供信用管理部门备案的第三方信用报告，且信用报告通过“信用盐城网”可查实），免收履约保证金。</w:t>
      </w:r>
      <w:bookmarkEnd w:id="223"/>
      <w:r/>
      <w:r/>
    </w:p>
    <w:p>
      <w:pPr>
        <w:keepLines/>
        <w:keepNext/>
        <w:spacing w:line="360" w:lineRule="auto"/>
        <w:rPr>
          <w:rFonts w:ascii="宋体" w:hAnsi="宋体" w:cs="宋体"/>
          <w:color w:val="000000" w:themeColor="text1"/>
          <w:sz w:val="24"/>
          <w:highlight w:val="none"/>
        </w:rPr>
        <w:outlineLvl w:val="3"/>
      </w:pPr>
      <w:r>
        <w:rPr>
          <w:rFonts w:hint="eastAsia" w:ascii="宋体" w:hAnsi="宋体" w:cs="宋体"/>
          <w:color w:val="000000" w:themeColor="text1"/>
          <w:sz w:val="24"/>
          <w:highlight w:val="none"/>
        </w:rPr>
        <w:t xml:space="preserve">    4. 工程质量</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4.1 质量要求</w:t>
      </w:r>
      <w:r/>
    </w:p>
    <w:p>
      <w:pPr>
        <w:pStyle w:val="1160"/>
        <w:ind w:firstLine="480"/>
        <w:jc w:val="both"/>
        <w:spacing w:beforeAutospacing="0" w:afterAutospacing="0" w:line="360" w:lineRule="auto"/>
        <w:rPr>
          <w:rFonts w:ascii="宋体" w:hAnsi="宋体" w:cs="宋体"/>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1 \* GB3</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①</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本项目采购人要求质量确保达到国家合格标准，采购人</w:t>
      </w:r>
      <w:r>
        <w:rPr>
          <w:rFonts w:hint="eastAsia" w:ascii="宋体" w:hAnsi="宋体" w:cs="宋体"/>
          <w:color w:val="000000" w:themeColor="text1"/>
          <w:highlight w:val="none"/>
          <w:lang w:val="zh-CN"/>
        </w:rPr>
        <w:t xml:space="preserve">在组织履约验收前，</w:t>
      </w:r>
      <w:r>
        <w:rPr>
          <w:rFonts w:hint="eastAsia" w:ascii="宋体" w:hAnsi="宋体" w:cs="宋体"/>
          <w:color w:val="000000" w:themeColor="text1"/>
          <w:highlight w:val="none"/>
        </w:rPr>
        <w:t xml:space="preserve">可</w:t>
      </w:r>
      <w:r>
        <w:rPr>
          <w:rFonts w:hint="eastAsia" w:ascii="宋体" w:hAnsi="宋体" w:cs="宋体"/>
          <w:color w:val="000000" w:themeColor="text1"/>
          <w:highlight w:val="none"/>
          <w:lang w:val="zh-CN"/>
        </w:rPr>
        <w:t xml:space="preserve">根据项目特点制定验收方案，明确履约验收的时间、方式、程序等内容，并可根据项目特点对服务期内的服务实施情况进行分期考核，综合考核情况和服务效果进行验收。</w:t>
      </w:r>
      <w:r>
        <w:rPr>
          <w:rFonts w:hint="eastAsia" w:ascii="宋体" w:hAnsi="宋体" w:cs="宋体"/>
          <w:color w:val="000000" w:themeColor="text1"/>
          <w:highlight w:val="none"/>
        </w:rPr>
        <w:t xml:space="preserve">成交供应商</w:t>
      </w:r>
      <w:r>
        <w:rPr>
          <w:rFonts w:hint="eastAsia" w:ascii="宋体" w:hAnsi="宋体" w:cs="宋体"/>
          <w:color w:val="000000" w:themeColor="text1"/>
          <w:highlight w:val="none"/>
          <w:lang w:val="zh-CN"/>
        </w:rPr>
        <w:t xml:space="preserve">应根据验收方案内容做好相应配合工作，</w:t>
      </w:r>
      <w:r>
        <w:rPr>
          <w:rFonts w:hint="eastAsia" w:ascii="宋体" w:hAnsi="宋体" w:cs="宋体"/>
          <w:color w:val="000000" w:themeColor="text1"/>
          <w:highlight w:val="none"/>
        </w:rPr>
        <w:t xml:space="preserve">如成交供应商未按约定时间完成验收，</w:t>
      </w:r>
      <w:r>
        <w:rPr>
          <w:rFonts w:hint="eastAsia" w:ascii="宋体" w:hAnsi="宋体" w:cs="宋体"/>
          <w:color w:val="000000" w:themeColor="text1"/>
          <w:highlight w:val="none"/>
          <w:lang w:val="zh-CN"/>
        </w:rPr>
        <w:t xml:space="preserve">每逾期一日，应向甲方支付</w:t>
      </w:r>
      <w:r>
        <w:rPr>
          <w:rFonts w:hint="eastAsia" w:ascii="宋体" w:hAnsi="宋体" w:cs="宋体"/>
          <w:color w:val="000000" w:themeColor="text1"/>
          <w:highlight w:val="none"/>
        </w:rPr>
        <w:t xml:space="preserve">500元/日</w:t>
      </w:r>
      <w:r>
        <w:rPr>
          <w:rFonts w:hint="eastAsia" w:ascii="宋体" w:hAnsi="宋体" w:cs="宋体"/>
          <w:color w:val="000000" w:themeColor="text1"/>
          <w:highlight w:val="none"/>
          <w:lang w:val="zh-CN"/>
        </w:rPr>
        <w:t xml:space="preserve">的违约金，由甲方从待付</w:t>
      </w:r>
      <w:r>
        <w:rPr>
          <w:rFonts w:hint="eastAsia" w:ascii="宋体" w:hAnsi="宋体" w:cs="宋体"/>
          <w:color w:val="000000" w:themeColor="text1"/>
          <w:highlight w:val="none"/>
        </w:rPr>
        <w:t xml:space="preserve">合同款项</w:t>
      </w:r>
      <w:r>
        <w:rPr>
          <w:rFonts w:hint="eastAsia" w:ascii="宋体" w:hAnsi="宋体" w:cs="宋体"/>
          <w:color w:val="000000" w:themeColor="text1"/>
          <w:highlight w:val="none"/>
          <w:lang w:val="zh-CN"/>
        </w:rPr>
        <w:t xml:space="preserve">中扣除。</w:t>
      </w:r>
      <w:r>
        <w:rPr>
          <w:rFonts w:hint="eastAsia" w:ascii="宋体" w:hAnsi="宋体" w:cs="宋体"/>
          <w:color w:val="000000" w:themeColor="text1"/>
          <w:highlight w:val="none"/>
        </w:rPr>
        <w:t xml:space="preserve">若验收不合格者，成交供应商必须无偿整改达到承诺的质量标准及目标并承担相应的费用，由此造成的工期延误将不予顺延，成交供应商还将承担给采购人造成的实际经济损失。施工中发生严重的质量问题成交供应商必须同时向采购人承担承包范围内工程总造价3%的违约金。</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2 \* GB3</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②</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成交供应商须严格按照设计图纸、质量标准、验收规范等组织施工，接受采购人的检查。若发生工序、检验批等验收不符合质量目标要求的，每发生一次接受采购人以每次2000元的扣款，相关费用直接从应付工程款中扣除。若发生分项工程验收不符合质量目</w:t>
      </w:r>
      <w:r>
        <w:rPr>
          <w:rFonts w:hint="eastAsia" w:ascii="宋体" w:hAnsi="宋体" w:cs="宋体"/>
          <w:color w:val="000000" w:themeColor="text1"/>
          <w:sz w:val="24"/>
          <w:highlight w:val="none"/>
        </w:rPr>
        <w:t xml:space="preserve">标要求的，每发生一次接受采购人以每次5000元的扣款，相关费用直接从应付工程款中扣除。若发生分部工程验收不符合质量目标要求的，每发生一次接受采购人以每次10000元的扣款，相关费用直接从应付工程款中扣除。另外成交供应商在执行上述要求的同时，并不免除在限期内整改到位、继续履行其他合同条款的义务，由此发生的所有费用均由成交供应商承担，工期、造价不给予补偿。若未按照采购人要求及时整改到位的采购人有权委托第三方代为实施，所发生的费用由成交供应商承担。拒不整改的采购人有权终止施工合同，已经完成的工作量按照70%结算。</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3 \* GB3</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③</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成交供应商须按法律法规及相关规定要求将建筑材料、建筑构配件、设备和商品混凝土，涉及安全的试块、试件及有关材料等送有相应资质的检测单位检测，成交供应商最终将凭具有相应资质的检测单位出具的检测报告作为对工程质量评定的依据。对关键部位、关键工序及隐蔽部位须按相关规定要求报质量监督部门验收通过，否则采购人不予认可。</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关于工程奖项的约定： </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 。</w:t>
      </w:r>
      <w:r/>
    </w:p>
    <w:p>
      <w:pPr>
        <w:ind w:firstLine="480"/>
        <w:keepLines/>
        <w:keepNext/>
        <w:spacing w:line="360" w:lineRule="auto"/>
        <w:rPr>
          <w:rFonts w:ascii="宋体" w:hAnsi="宋体" w:cs="宋体"/>
          <w:color w:val="000000" w:themeColor="text1"/>
          <w:sz w:val="24"/>
          <w:highlight w:val="none"/>
        </w:rPr>
        <w:outlineLvl w:val="3"/>
      </w:pPr>
      <w:r>
        <w:rPr>
          <w:rFonts w:hint="eastAsia" w:ascii="宋体" w:hAnsi="宋体" w:cs="宋体"/>
          <w:color w:val="000000" w:themeColor="text1"/>
          <w:sz w:val="24"/>
          <w:highlight w:val="none"/>
        </w:rPr>
        <w:t xml:space="preserve">5 安全文明施工与环境保护</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5.1安全文明施工</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5.1.1 项目安全生产的达标目标及相应事项的约定:</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（1）成交供应商必须按江苏省建设厅和盐城市建设行政主管部门颁布的《建设工程施工安全管理规定》施工。成交供应商须按国家、地方相关法律、法规及相关管理规定要求，完成各项安全文明施工管理工作。</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成交供应商必须确保此工程安全（施工场地内及施工运输过程中），若发生不安全问题，自行负责处理并承担一切责任，并同时向采购人承担中标价的3%违约金。成交供应商在组织施工时需及时清运施工废弃物，材料堆放整齐有序，保持施工场地整洁、交通畅通。服从采购人及相关主管部门的管理要求，主动协调、解决问题，若在施工期间出现因场地清洁、交通不畅等违反安全文明施工管理规定的情况，所发生的一切费用均由成交供应商承担，同时还需接受发包人每次2000元的罚金。</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成交供应商未按国家及地方相关规定要求完成安全文明管理工作的，须限期改正到位。成交供应商拒不整改或整改后仍达不到要求的，采购人有权委托第三方按国家及地方相关规定进行代为整改，所发生的费用由成交供应商承担，采购人可在应付的当期工程款中扣除。</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5.1.4 关于治安保卫的特别约定：按通用条款。</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关于编制施工场地治安管理计划的约定：按通用条款。</w:t>
      </w:r>
      <w:r/>
    </w:p>
    <w:p>
      <w:pPr>
        <w:ind w:firstLine="36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5.1.5 文明施工</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当事人对文明施工的要求：施工现场应在适当位置悬挂施工标志和文明施工标语，危险区域应当设置危险警示标牌和警示灯。现场围护要求坚固、稳定、整洁、美观，施工现场车辆应当采取有效措施，确保不污染道路和环境。采购人和监理单位有权监督承包人的文明施工措施按照相关管理规定实施到位。由于成交供应商疏于采取文明施工措施所造成的必要费用的支出，应由成交供应商自行承担。</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成交供应商在施工中污染周围环境、施工噪音干扰他人等所引起的政府职能部门罚款或停工整改或引起周围居民纠纷和索赔时，其所有发生的费用与损失将全部由成交供应商自行承担。</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5.1.6 关于安全文明施工费支付比例和支付期限的约定：本工程安全文明施工费不单独支付，包含在工程款中支付，详见合同付款约定。</w:t>
      </w:r>
      <w:r/>
    </w:p>
    <w:p>
      <w:pPr>
        <w:ind w:firstLine="480"/>
        <w:keepLines/>
        <w:keepNext/>
        <w:spacing w:line="360" w:lineRule="auto"/>
        <w:rPr>
          <w:rFonts w:ascii="宋体" w:hAnsi="宋体" w:cs="宋体"/>
          <w:color w:val="000000" w:themeColor="text1"/>
          <w:sz w:val="24"/>
          <w:highlight w:val="none"/>
        </w:rPr>
        <w:outlineLvl w:val="3"/>
      </w:pPr>
      <w:r>
        <w:rPr>
          <w:rFonts w:hint="eastAsia" w:ascii="宋体" w:hAnsi="宋体" w:cs="宋体"/>
          <w:color w:val="000000" w:themeColor="text1"/>
          <w:sz w:val="24"/>
          <w:highlight w:val="none"/>
        </w:rPr>
        <w:t xml:space="preserve">6. 工期和进度</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6.1 施工组织设计</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6.1.1 合同当事人约定的施工组织设计应包括的其他内容：</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6.1.2 施工组织设计的提交和修改</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成交供应商提交详细施工组织设计的期限的约定：在合同签订后7日内。   </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采购人和监理人在收到详细的施工组织设计后确认或提出修改意见的期限：7天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6.2 施工进度计划</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6.2.2 施工进度计划的修订</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采购人在收到修订的施工进度计划后确认或提出修改意见的期限：</w:t>
      </w:r>
      <w:r>
        <w:rPr>
          <w:rFonts w:hint="eastAsia" w:ascii="宋体" w:hAnsi="宋体" w:cs="宋体"/>
          <w:color w:val="000000" w:themeColor="text1"/>
          <w:sz w:val="24"/>
          <w:highlight w:val="none"/>
          <w:u w:val="single"/>
        </w:rPr>
        <w:t xml:space="preserve"> 7 天</w:t>
      </w:r>
      <w:r>
        <w:rPr>
          <w:rFonts w:hint="eastAsia" w:ascii="宋体" w:hAnsi="宋体" w:cs="宋体"/>
          <w:color w:val="000000" w:themeColor="text1"/>
          <w:sz w:val="24"/>
          <w:highlight w:val="none"/>
        </w:rPr>
        <w:t xml:space="preserve">。</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6.3 开工</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6.3.1 开工准备</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关于成交供应商提交工程开工报审表的期限：计划开工日期前7天提交开工报审表或开工报告。</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关于采购人应完成的其他开工准备工作及期限：</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关于成交供应商应完成的其他开工准备工作及期限：开工前必须向采购人和提供施工进度计划、材料清单、材料进场计划、劳动力计划。</w:t>
      </w:r>
      <w:r/>
    </w:p>
    <w:p>
      <w:pPr>
        <w:ind w:firstLine="60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6.3.2开工通知</w:t>
      </w:r>
      <w:r/>
    </w:p>
    <w:p>
      <w:pPr>
        <w:ind w:firstLine="60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因采购人原因造成监理人未能在计划开工日期之日起</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天内发出开工通知的，成交供应商有权提出价格调整要求，或者解除合同。</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6.4 工期延误</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6.4.1 因采购人原因导致工期延误</w:t>
      </w:r>
      <w:r/>
    </w:p>
    <w:p>
      <w:pPr>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因采购人原因导致工期延误的其他情形：经监理和采购人签证确认后顺延。</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6.4.2 因成交供应商原因导致工期延误</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中标通知书发出后30日内须与采购人签订合同，合同签订后120天内须竣工并申请采购人验收，超过工期完成的，违约金按照合同价的500元/日扣款处理，在限期内未完成的采购人将直接委托第三方代为赶工，所发生的实际费用由成交供应商承担，同时接受采购人以每次10000元的经济处罚，相关费用直接从应付工程款项中扣除。拒绝执行上述条款的，采购人有权清退成交供应商，同时由此造成的损失均由承包单位承担，并承担违约责任。</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因成交供应商原因造成工期延误，逾期竣工违约金的上限：合同价的30%。</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6.5 不利物质条件</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不利物质条件的其他情形和有关约定：按通用条款。</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6.6异常恶劣的气候条件</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采购人和成交供应商同意以下情形视为异常恶劣的气候条件：</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p>
    <w:p>
      <w:pPr>
        <w:ind w:firstLine="408"/>
        <w:jc w:val="left"/>
        <w:spacing w:line="360" w:lineRule="auto"/>
        <w:tabs>
          <w:tab w:val="left" w:pos="1620" w:leader="none"/>
          <w:tab w:val="left" w:pos="5380" w:leader="none"/>
          <w:tab w:val="left" w:pos="9960" w:leader="none"/>
          <w:tab w:val="left" w:pos="101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08"/>
        <w:jc w:val="left"/>
        <w:spacing w:line="360" w:lineRule="auto"/>
        <w:tabs>
          <w:tab w:val="left" w:pos="1620" w:leader="none"/>
          <w:tab w:val="left" w:pos="5380" w:leader="none"/>
          <w:tab w:val="left" w:pos="9960" w:leader="none"/>
          <w:tab w:val="left" w:pos="101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keepLines/>
        <w:keepNext/>
        <w:spacing w:line="360" w:lineRule="auto"/>
        <w:rPr>
          <w:rFonts w:ascii="宋体" w:hAnsi="宋体" w:cs="宋体"/>
          <w:color w:val="000000" w:themeColor="text1"/>
          <w:sz w:val="24"/>
          <w:highlight w:val="none"/>
        </w:rPr>
        <w:outlineLvl w:val="3"/>
      </w:pPr>
      <w:r>
        <w:rPr>
          <w:rFonts w:hint="eastAsia" w:ascii="宋体" w:hAnsi="宋体" w:cs="宋体"/>
          <w:color w:val="000000" w:themeColor="text1"/>
          <w:sz w:val="24"/>
          <w:highlight w:val="none"/>
        </w:rPr>
        <w:t xml:space="preserve">7. 材料与设备</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7.4材料与工程设备的保管与使用</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7.4.1采购人供应的材料设备的保管费用的承担：由采购人承担，并按采购人供应材料设备价格的1%计取。</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7.6 样品</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7.6.1 样品的报送与封存</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需要成交供应商报送样品的材料或工程设备，样品的种类、名称、规格、数量要求：按谈判文件及国家、省、市及地方及采购人规定执行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7.8 施工设备和临时设施</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7.8.1 成交供应商提供的施工设备和临时设施</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关于修建临时设施费用承担的约定： 成交供应商。</w:t>
      </w:r>
      <w:r/>
    </w:p>
    <w:p>
      <w:pPr>
        <w:ind w:firstLine="480"/>
        <w:keepLines/>
        <w:keepNext/>
        <w:spacing w:line="360" w:lineRule="auto"/>
        <w:rPr>
          <w:rFonts w:ascii="宋体" w:hAnsi="宋体" w:cs="宋体"/>
          <w:color w:val="000000" w:themeColor="text1"/>
          <w:sz w:val="24"/>
          <w:highlight w:val="none"/>
        </w:rPr>
        <w:outlineLvl w:val="3"/>
      </w:pPr>
      <w:r>
        <w:rPr>
          <w:rFonts w:hint="eastAsia" w:ascii="宋体" w:hAnsi="宋体" w:cs="宋体"/>
          <w:color w:val="000000" w:themeColor="text1"/>
          <w:sz w:val="24"/>
          <w:highlight w:val="none"/>
        </w:rPr>
        <w:t xml:space="preserve">8. 试验与检验</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8.1试验设备与试验人员</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8.1.2 试验设备</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施工现场需要配置的试验场所： 按通用条款执行。</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施工现场需要配备的试验设备： 按通用条款执行。</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施工现场需要具备的其他试验条件：按通用条款执行。</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8.4 现场工艺试验 </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现场工艺试验的有关约定：按通用条款执行。</w:t>
      </w:r>
      <w:r/>
    </w:p>
    <w:p>
      <w:pPr>
        <w:ind w:firstLine="480"/>
        <w:keepLines/>
        <w:keepNext/>
        <w:spacing w:line="360" w:lineRule="auto"/>
        <w:rPr>
          <w:rFonts w:ascii="宋体" w:hAnsi="宋体" w:cs="宋体"/>
          <w:color w:val="000000" w:themeColor="text1"/>
          <w:sz w:val="24"/>
          <w:highlight w:val="none"/>
        </w:rPr>
        <w:outlineLvl w:val="3"/>
      </w:pPr>
      <w:r>
        <w:rPr>
          <w:rFonts w:hint="eastAsia" w:ascii="宋体" w:hAnsi="宋体" w:cs="宋体"/>
          <w:color w:val="000000" w:themeColor="text1"/>
          <w:sz w:val="24"/>
          <w:highlight w:val="none"/>
        </w:rPr>
        <w:t xml:space="preserve">9. 变更</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9.1变更的范围</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关于变更的范围的约定：工程变更须经采购人、设计单位确定后，成交供应商按书面文件要求实施。</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9.2 变更估价</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9.2.1 变更估价原则</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关于变更估价的约定：</w:t>
      </w: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1 \* GB3</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①</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工程变更签证的资料要求。属于工程变更（含设计变更和合同外增加工程等，原则上不变更）的签证，必须同时提供程序完善的工程业务联系单、签证单（有需要须附上竣工图及验收单），如成交供应商原因造成资料不全，工程结算时不得补充资料，则工程造价增加的视为成交供应商放弃此项权利，工程造价减少的按实结算后扣除。</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2 \* GB3</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②</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签证的时限要求。发生设计变更、经济签证事件时, 成交供应商须在事件发生14日内将书面变更资料（变更工程量、变更部分综合单价、拟增加的经济费用原由、计取方式及依据）书面报送经监理方、采购人签字认可后作为结算依据，过期不予认可，责任由成交供应商自行承担。。</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3 \* GB3</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③</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由于成交供应商原因导致的工程变更，成交供应商无权要求签证赔偿。</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4 \* GB3</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④</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签证单的签证程序必须严格按照采购人规定执行，否则，视为无效签证单。无效签证单采购人不予承认，责任由成交供应商自负。</w:t>
      </w:r>
      <w:r/>
    </w:p>
    <w:p>
      <w:pPr>
        <w:ind w:firstLine="470"/>
        <w:spacing w:line="360" w:lineRule="auto"/>
        <w:tabs>
          <w:tab w:val="left" w:pos="90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5 \* GB3</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⑤</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若采购人有明确的工作指令，成交供应商不应以工程签证未办理完成为借口，延误工作进展。</w:t>
      </w:r>
      <w:r/>
    </w:p>
    <w:p>
      <w:pPr>
        <w:ind w:firstLine="470"/>
        <w:spacing w:line="360" w:lineRule="auto"/>
        <w:tabs>
          <w:tab w:val="left" w:pos="90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6 \* GB3</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⑥</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变更部分价格确定：见专用合同条款第12条。</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7 \* GB3</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t xml:space="preserve">⑦</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成交供应商必须无条件服从采购人对工程的设计变更，不得以因采购人设计变更减少了工程利润为由要挟采购人追加其它费用。设计变更按采购人书面签证确认为准。其他按照通用条款。</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9.3成交供应商的合理化建议</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监理人审查成交供应商合理化建议的期限：</w:t>
      </w:r>
      <w:r>
        <w:rPr>
          <w:rFonts w:hint="eastAsia" w:ascii="宋体" w:hAnsi="宋体" w:cs="宋体"/>
          <w:color w:val="000000" w:themeColor="text1"/>
          <w:sz w:val="24"/>
          <w:highlight w:val="none"/>
          <w:u w:val="single"/>
        </w:rPr>
        <w:t xml:space="preserve"> 7 </w:t>
      </w:r>
      <w:r>
        <w:rPr>
          <w:rFonts w:hint="eastAsia" w:ascii="宋体" w:hAnsi="宋体" w:cs="宋体"/>
          <w:color w:val="000000" w:themeColor="text1"/>
          <w:sz w:val="24"/>
          <w:highlight w:val="none"/>
        </w:rPr>
        <w:t xml:space="preserve">天。</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采购人审批成交供应商合理化建议的期限：</w:t>
      </w:r>
      <w:r>
        <w:rPr>
          <w:rFonts w:hint="eastAsia" w:ascii="宋体" w:hAnsi="宋体" w:cs="宋体"/>
          <w:color w:val="000000" w:themeColor="text1"/>
          <w:sz w:val="24"/>
          <w:highlight w:val="none"/>
          <w:u w:val="single"/>
        </w:rPr>
        <w:t xml:space="preserve"> 7 </w:t>
      </w:r>
      <w:r>
        <w:rPr>
          <w:rFonts w:hint="eastAsia" w:ascii="宋体" w:hAnsi="宋体" w:cs="宋体"/>
          <w:color w:val="000000" w:themeColor="text1"/>
          <w:sz w:val="24"/>
          <w:highlight w:val="none"/>
        </w:rPr>
        <w:t xml:space="preserve">天。</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成交供应商提出的合理化建议降低了合同价格或者提高了工程经济效益的奖励的方法和金额为： /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9.4 暂估价</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暂估价材料和工程设备的明细详见附件11：《暂估价一览表》。</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9.4.1 依法必须招标的暂估价项目</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对于依法必须招标的暂估价项目的确认和批准采取第 </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种方式确定。</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9.4.2 不属于依法必须招标的暂估价项目</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对于不属于依法必须招标的暂估价项目的确认和批准采取第</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种方式确定。</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第3种方式：成交供应商直接实施的暂估价项目</w:t>
      </w:r>
      <w:r/>
    </w:p>
    <w:p>
      <w:pPr>
        <w:ind w:left="36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成交供应商直接实施的暂估价项目的约定：与本工程合同条件一致。</w:t>
      </w:r>
      <w:r/>
    </w:p>
    <w:p>
      <w:pPr>
        <w:ind w:firstLine="480"/>
        <w:keepLines/>
        <w:keepNext/>
        <w:spacing w:line="360" w:lineRule="auto"/>
        <w:rPr>
          <w:rFonts w:ascii="宋体" w:hAnsi="宋体" w:cs="宋体"/>
          <w:color w:val="000000" w:themeColor="text1"/>
          <w:sz w:val="24"/>
          <w:highlight w:val="none"/>
        </w:rPr>
        <w:outlineLvl w:val="3"/>
      </w:pPr>
      <w:r>
        <w:rPr>
          <w:rFonts w:hint="eastAsia" w:ascii="宋体" w:hAnsi="宋体" w:cs="宋体"/>
          <w:color w:val="000000" w:themeColor="text1"/>
          <w:sz w:val="24"/>
          <w:highlight w:val="none"/>
        </w:rPr>
        <w:t xml:space="preserve">10. 价格调整</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10.1 市场价格波动引起的调整</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市场价格波动是否调整合同价格的约定：按11.1条约定执行。</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因市场价格波动调整合同价格，采用以下第 </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种方式对合同价格进行调整： </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第1种方式：采用价格指数进行价格调整。</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关于各可调因子、定值和变值权重，以及基本价格指数及其来源的约定：</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  </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第2种方式：采用造价信息进行价格调整。</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（2）关于基准价格的约定：</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 。</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专用合同条款①成交供应商在已标价工程量清单或预算书中载明的材料单价低于基准价格的：专用合同条款合同履行期间材料单价涨幅以基准价格为基础超过 / %时，或材料单价跌幅以已标价工程量清单或预算书中载明材料单价为基础超过 / %时，其超过部分据实调整。</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②成交供应商在已标价工程量清单或预算书中载明的材料单价高于基准价格的：专用合同条款合同履行期间材料单价跌幅以基准价格为基础超过/%时，材料单价涨幅以已标价工程量清单或预算书中载明材料单价为基础超过/ %时，其超过部分据实调整。</w:t>
      </w:r>
      <w:r/>
    </w:p>
    <w:p>
      <w:pPr>
        <w:ind w:firstLine="36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③成交供应商在已标价工程量清单或预算书中载明的材料单价等于基准单价的：专用合同条款合同履行期间材料单价涨跌幅以基准单价为基础超过±/ %时，其超过部分据实调整。</w:t>
      </w:r>
      <w:r/>
    </w:p>
    <w:p>
      <w:pPr>
        <w:ind w:firstLine="480"/>
        <w:spacing w:line="360" w:lineRule="auto"/>
        <w:tabs>
          <w:tab w:val="left" w:pos="79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第3种方式：其他价格调整方式：</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 </w:t>
      </w:r>
      <w:r/>
    </w:p>
    <w:p>
      <w:pPr>
        <w:ind w:firstLine="480"/>
        <w:keepLines/>
        <w:keepNext/>
        <w:spacing w:line="360" w:lineRule="auto"/>
        <w:rPr>
          <w:rFonts w:ascii="宋体" w:hAnsi="宋体" w:cs="宋体"/>
          <w:color w:val="000000" w:themeColor="text1"/>
          <w:sz w:val="24"/>
          <w:highlight w:val="none"/>
        </w:rPr>
        <w:outlineLvl w:val="3"/>
      </w:pPr>
      <w:r>
        <w:rPr>
          <w:rFonts w:hint="eastAsia" w:ascii="宋体" w:hAnsi="宋体" w:cs="宋体"/>
          <w:color w:val="000000" w:themeColor="text1"/>
          <w:sz w:val="24"/>
          <w:highlight w:val="none"/>
        </w:rPr>
        <w:t xml:space="preserve">11 合同价格、计量与支付</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11.1 合同价格形式：</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1、单价合同。</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工程竣工结算价=实际工程量×中标全费用综合单价+合同与谈判文件可以调整的价格。</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综合单价包含的风险范围：（1）合同实施期间的政策性调整（规费及税金除外）、人工费调整、市场风险及其他风险，合同实施期间的材料及设备价格风险均由成交供应商承担，结算时一律不调整。</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风险费用的计算方法：已包含在中标综合单价中。</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风险范围以外合同价格的调整方法：</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1、本工程采用“固定单价”合同，合同实施过程中除谈判文件和合同约定允许调整外，其余的综合单价不作调整。</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变更工程量引起的价格调整。变更工程量是指招标工程量清单中的工程量计算有误、非成交供应商原因的工程变更（含设计变更）引起的招标工程量的增减，除合同另有约定外其综合单价按投标报价文件中相应综合单价执行。</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3、因招标工程量清单缺项、设计图纸（含设</w:t>
      </w:r>
      <w:r>
        <w:rPr>
          <w:rFonts w:hint="eastAsia" w:ascii="宋体" w:hAnsi="宋体" w:cs="宋体"/>
          <w:color w:val="000000" w:themeColor="text1"/>
          <w:sz w:val="24"/>
          <w:highlight w:val="none"/>
        </w:rPr>
        <w:t xml:space="preserve">计变更）与招标工程量清单项目的特征描述不符、工程变更，造成增加新的工程量清单项目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成交供应商按谈判文件预算价约定的计价依据、程序（不计风险费）和取费标准提出变更工程项目的单价，经采购人确认后作为结算依据(该项目单价的下浮率按照中标时的下浮率执行)。中标下浮率计算公式如下：</w:t>
      </w:r>
      <w:r/>
    </w:p>
    <w:p>
      <w:pPr>
        <w:ind w:firstLine="396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ind w:firstLine="396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预算价- 中标价</w:t>
      </w:r>
      <w:r/>
    </w:p>
    <w:p>
      <w:pPr>
        <w:ind w:firstLine="42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下浮率 ＝------------------------------------------------------×100%</w:t>
      </w:r>
      <w:r/>
    </w:p>
    <w:p>
      <w:pPr>
        <w:ind w:firstLine="456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预算价</w:t>
      </w:r>
      <w:r/>
    </w:p>
    <w:p>
      <w:pPr>
        <w:ind w:firstLine="456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注：1、下浮率的计算均需扣除采购人暂列金额、暂估价（含上述二项的规费、税金）。</w:t>
      </w:r>
      <w:r/>
    </w:p>
    <w:p>
      <w:pPr>
        <w:ind w:firstLine="96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2、上述公式中的预算价是指采购人委托编制的工程招标预算价（即工程的预算审核价）</w:t>
      </w:r>
      <w:r/>
    </w:p>
    <w:p>
      <w:pPr>
        <w:ind w:firstLine="420"/>
        <w:jc w:val="left"/>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4、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w:t>
      </w:r>
      <w:r/>
    </w:p>
    <w:p>
      <w:pPr>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招标期间及合同实施期间，涉及人工工资调整的相关政策性、指导性文件一律不予以执行，成交供应商在合同价中已充分考虑此风险费用。</w:t>
      </w:r>
      <w:r/>
    </w:p>
    <w:p>
      <w:pPr>
        <w:ind w:firstLine="480"/>
        <w:jc w:val="left"/>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5、招标时暂定（暂估）价格在结算时按实调整。</w:t>
      </w:r>
      <w:r/>
    </w:p>
    <w:p>
      <w:pPr>
        <w:ind w:firstLine="480"/>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(1)计日工按采购人实际签证确认的事项计算；</w:t>
      </w:r>
      <w:r/>
    </w:p>
    <w:p>
      <w:pPr>
        <w:ind w:firstLine="480"/>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(2)暂估价中的材料单价按发、承包双方最终确认价在综合单价中调整；</w:t>
      </w:r>
      <w:r/>
    </w:p>
    <w:p>
      <w:pPr>
        <w:ind w:firstLine="480"/>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(3)专业工程暂估价按专业工程招标中标价或采购人、成交供应商与分包人最终确认价计算；</w:t>
      </w:r>
      <w:r/>
    </w:p>
    <w:p>
      <w:pPr>
        <w:ind w:firstLine="480"/>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(4)暂列金额减去工程价款调整与索赔、现场签证金额计算，如有余额归采购人。</w:t>
      </w:r>
      <w:r/>
    </w:p>
    <w:p>
      <w:pPr>
        <w:ind w:firstLine="480"/>
        <w:jc w:val="left"/>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(5)竣工结算时若成交供应商完成了采购人所要求的且为合同以外的零星工作或发生非成交供应商责任事件的工程量按现场实际完成的工程量经采购人签证确定。</w:t>
      </w:r>
      <w:r/>
    </w:p>
    <w:p>
      <w:pPr>
        <w:ind w:firstLine="480"/>
        <w:jc w:val="left"/>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7、双方约定合同价款不予调整的情形，包括但不仅限于下列情形：</w:t>
      </w:r>
      <w:r/>
    </w:p>
    <w:p>
      <w:pPr>
        <w:ind w:firstLine="600"/>
        <w:jc w:val="left"/>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采购人提供的图纸如果存在明显错误或疏忽，成交供应商作为合格的承包商应当发现并及时通知监理人。如果成交供应商不能发现或发现后不及时通知监理人，由此引起的停工索赔与返工经济签证采购人不予认可，结算价款不予调整；</w:t>
      </w:r>
      <w:r/>
    </w:p>
    <w:p>
      <w:pPr>
        <w:ind w:firstLine="600"/>
        <w:jc w:val="left"/>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（2）成交供应商原因造成工期延误，延误期间发生的材料价格上涨差额由成交供应商承担，不予调整；</w:t>
      </w:r>
      <w:r/>
    </w:p>
    <w:p>
      <w:pPr>
        <w:ind w:firstLine="480"/>
        <w:jc w:val="left"/>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（3）因成交供应商自身原因导致的工程变更、返工，造成工程价款增加的，不予调整；</w:t>
      </w:r>
      <w:r/>
    </w:p>
    <w:p>
      <w:pPr>
        <w:ind w:firstLine="480"/>
        <w:jc w:val="left"/>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（4）签证内容不全、与事实不符或不符合技术标准、规范要求、施工常规、正常施工方法及已在谈判文件要求计入投标报价范围的不予调整；</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（5）不符合工程结算相关的法律、法规、规范性文件规定的价款不予调整。</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8、所有的设计变更均须采购人、设计单位和监理单位三方签字后方可生效；变更的工程量签证均须采购人、成交供应商和监理单位三方签字后方可生效，未经确认的工程量采购人有权不予结算。</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9、本项目施工过程中遇到的一切地方矛盾及由此发生的费用与采购人无涉，均含在合同价中，结算时不调整。</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10、成交供应商负责施工现场垃圾清运、处理，运距、处理均自行考虑，费用均含在合同价和综合报价中，结算时不调整。</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11、成交供应商须在施工过程中做好成品保护，如因成交供应商原因造成现有设施破坏的，</w:t>
      </w:r>
      <w:r>
        <w:rPr>
          <w:rFonts w:hint="eastAsia" w:ascii="宋体" w:hAnsi="宋体" w:cs="宋体"/>
          <w:color w:val="000000" w:themeColor="text1"/>
          <w:sz w:val="24"/>
          <w:highlight w:val="none"/>
          <w:lang w:eastAsia="zh-CN"/>
        </w:rPr>
        <w:t xml:space="preserve">成交供应商</w:t>
      </w:r>
      <w:r>
        <w:rPr>
          <w:rFonts w:hint="eastAsia" w:ascii="宋体" w:hAnsi="宋体" w:cs="宋体"/>
          <w:color w:val="000000" w:themeColor="text1"/>
          <w:sz w:val="24"/>
          <w:highlight w:val="none"/>
        </w:rPr>
        <w:t xml:space="preserve">须无条件修复至原状。上述费用均含在合同价中，结算时不调整。</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12、以上关于合同定价与结算方式主要条款中未尽事宜由甲乙双方依据《建设工程工程量清单计价规范》（GB50500－2013）、建设部标准定额研究所关于其有关问题解释答疑等进行协商。</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2、总价合同。</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总价包含的风险范围：</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  。</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风险费用的计算方法：</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风险范围以外合同价格的调整方法：</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3、其他价格方式：</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11.2 预付款</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11.2.1 预付款的支付</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预付款支付比例或金额：。</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预付款支付期限：</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预付款扣回的方式：</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11.2.2 预付款担保</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成交供应商提交预付款担保的期限：</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预付款担保的形式为：</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11.3 计量</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11.3.1 计量原则</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工程量计算规则：以相关的国家标准、行业标准为依据。</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11.3.2 计量周期</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关于计量周期的约定：按形象进度计量。工程竣工验收后提交工程报告，验收不合格的分部分项工程不予计量，不得支付工程款。</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11.3.3 单价合同的计量</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关于单价合同计量的约定：</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11.3.4 总价合同的计量</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关于总价合同计量的约定： </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11.3.5总价合同采用支付分解表计量支付的，是否适用第12.3.4 项〔总价合同的计量〕约定进行计量：</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11.3.6 其他价格形式合同的计量</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其他价格形式的计量方式和程序： </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11.4 工程进度款支付</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11.4.1 付款周期及履约保证金</w:t>
      </w:r>
      <w:r/>
    </w:p>
    <w:p>
      <w:pPr>
        <w:ind w:firstLine="482"/>
        <w:jc w:val="left"/>
        <w:spacing w:line="360" w:lineRule="auto"/>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合同签订，收到乙方发票十个工作日内甲方支付合同价的30%作为预付款。（乙方需提供等额税票。在签订合同时，如乙方明确表示无需预付款的，可不执行）；施工完成经验收合格后付至合同价的50%，通过审计后付至审计价的 90%，验收合格之日起满三年后，无质量、服务等问题，余款一次性付清（无息）。</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注：以上付款均不计任何利息和相关费用。</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2、履约保证金交纳数额：</w:t>
      </w:r>
      <w:r>
        <w:rPr>
          <w:rFonts w:hint="eastAsia" w:ascii="宋体" w:hAnsi="宋体" w:cs="宋体"/>
          <w:color w:val="000000" w:themeColor="text1"/>
          <w:sz w:val="24"/>
          <w:highlight w:val="none"/>
          <w:lang w:eastAsia="zh-CN"/>
        </w:rPr>
        <w:t xml:space="preserve">成交供应商</w:t>
      </w:r>
      <w:r>
        <w:rPr>
          <w:rFonts w:hint="eastAsia" w:ascii="宋体" w:hAnsi="宋体" w:cs="宋体"/>
          <w:color w:val="000000" w:themeColor="text1"/>
          <w:sz w:val="24"/>
          <w:highlight w:val="none"/>
        </w:rPr>
        <w:t xml:space="preserve">应按合同总价的5%纳履约保证金。</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交纳账户：以</w:t>
      </w:r>
      <w:r>
        <w:rPr>
          <w:rFonts w:hint="eastAsia" w:ascii="宋体" w:hAnsi="宋体" w:cs="宋体"/>
          <w:color w:val="000000" w:themeColor="text1"/>
          <w:sz w:val="24"/>
          <w:highlight w:val="none"/>
          <w:lang w:eastAsia="zh-CN"/>
        </w:rPr>
        <w:t xml:space="preserve">采购人</w:t>
      </w:r>
      <w:r>
        <w:rPr>
          <w:rFonts w:hint="eastAsia" w:ascii="宋体" w:hAnsi="宋体" w:cs="宋体"/>
          <w:color w:val="000000" w:themeColor="text1"/>
          <w:sz w:val="24"/>
          <w:highlight w:val="none"/>
        </w:rPr>
        <w:t xml:space="preserve">要求为准。</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鼓励采购人对AA评级及以上政府采购供应商（需提供信用管理部门备案的第三方信用报告），可以向采购人申请免收履约保证金。</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zh-TW"/>
        </w:rPr>
        <w:t xml:space="preserve">如以履约保函（保险）形式缴纳履约保证金，供应商可通过政府采购电子履约保函（保险）平台（www.jsdzbh.com）在线申请履约保函（保险）。</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履约保证金的退还：</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方式：无息退还至供应商缴纳履约保证金的账户。如为保函，在到期时自行失效。</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时间：合同履行结束且无相关服务及质量问题后，一次性无息退还。</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条件：按合同要求全部履约完成并经甲方验收合格，且甲方收到乙方出具的发票。</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不予退还情形：</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除不可抗力情况外，供应商出现下列情形之一的，其履约保证金，采购人将视情节决定不予退还或部分不予退还。</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（1）成交供应商无正当理由拒绝签订合同的，或者在签订合同时向采购人提出附加条件或者更改合同实质性内容要求的；</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（2）成交供应商不履行与采购人订立的合同的；</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（3）成交供应商所供货物或服务不符合磋商文件规定要求的；</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（4）成交供应商采取欺骗、弄虚作假方式投标的或与其它供应商串通投标的；</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（5）成交供应商将合同内容转包、违法分包的；</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（6）成交供应商故意捏造事实或伪造证明材料，进行虚假恶意投诉或反映的。</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（7）试用期内未能按合同、磋商文件、响应文件履约的。</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逾期退还的违约责任：采购人逾期无故未退还履约保证金的，按中国人民银行同期贷款基准利率上浮20%后的利率支付超期资金占用费，但因供应商自身原因导致无法及时退还的除外。</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3、本工程价款一律通过银行非现金结算，工程款汇入企业基本帐户，实行专款专用。</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11.4.2 进度付款申请单的编制</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关于进度付款申请单编制的约定：按通用条款。</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11.4.3 进度付款申请单的提交</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（1）单价合同进度付款申请单提交的约定：按通用条款。</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（2）总价合同进度付款申请单提交的约定：</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（3）其他价格形式合同进度付款申请单提交的约定：</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11.4.4 进度款审核和支付</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（1）监理人审查并报送采购人的期限：</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采购人完成审批并签发进度款支付证书的期限：</w:t>
      </w:r>
      <w:r>
        <w:rPr>
          <w:rFonts w:hint="eastAsia" w:ascii="宋体" w:hAnsi="宋体" w:cs="宋体"/>
          <w:color w:val="000000" w:themeColor="text1"/>
          <w:sz w:val="24"/>
          <w:highlight w:val="none"/>
          <w:u w:val="single"/>
        </w:rPr>
        <w:t xml:space="preserve">   15天  </w:t>
      </w:r>
      <w:r>
        <w:rPr>
          <w:rFonts w:hint="eastAsia" w:ascii="宋体" w:hAnsi="宋体" w:cs="宋体"/>
          <w:color w:val="000000" w:themeColor="text1"/>
          <w:sz w:val="24"/>
          <w:highlight w:val="none"/>
        </w:rPr>
        <w:t xml:space="preserve"> 。</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（2）采购人支付进度款的期限： </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60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采购人逾期支付进度款的违约金的计算方式：</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60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11.4.5 支付分解表的编制</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2、总价合同支付分解表的编制与审批： </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3、单价合同的总价项目支付分解表的编制与审批：</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12.移交、接收全部与部分工程</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成交供应商向采购人移交工程的期限：</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 </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采购人未按本合同约定接收全部或部分工程的，违约金的计算方法为：按通用条款。</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成交供应商未按时移交工程的，违约金的计算方法为：按通用条款。</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 工程试车</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13.1 试车程序</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工程试车内容： </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（1）单机无负荷试车费用由 </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承担；</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（2）无负荷联动试车费用由</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承担。</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13.2 投料试车</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关于投料试车相关事项的约定：</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13.4 竣工退场</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13.4.1 竣工退场</w:t>
      </w:r>
      <w:r/>
    </w:p>
    <w:p>
      <w:pPr>
        <w:ind w:firstLine="36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成交供应商完成竣工退场的期限：按通用条款 。</w:t>
      </w:r>
      <w:r/>
    </w:p>
    <w:p>
      <w:pPr>
        <w:ind w:firstLine="480"/>
        <w:keepLines/>
        <w:keepNext/>
        <w:spacing w:line="360" w:lineRule="auto"/>
        <w:rPr>
          <w:rFonts w:ascii="宋体" w:hAnsi="宋体" w:cs="宋体"/>
          <w:color w:val="000000" w:themeColor="text1"/>
          <w:sz w:val="24"/>
          <w:highlight w:val="none"/>
        </w:rPr>
        <w:outlineLvl w:val="3"/>
      </w:pPr>
      <w:r>
        <w:rPr>
          <w:rFonts w:hint="eastAsia" w:ascii="宋体" w:hAnsi="宋体" w:cs="宋体"/>
          <w:color w:val="000000" w:themeColor="text1"/>
          <w:sz w:val="24"/>
          <w:highlight w:val="none"/>
        </w:rPr>
        <w:t xml:space="preserve">14. 竣工结算</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14.1竣工结算申请</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成交供应商提交竣工结算申请单的期限：按通用条款。</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竣工结算申请单应包括的内容：除通用条款约定外，还包括施工图、竣工资料等原件，要求随竣工结算申请单一同提交采购人。</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14.2 竣工结算审核</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采购人完成竣工付款的期限：按工程款支付条款约定。</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采购人审批竣工付款申请单的期限：按财政部、建设部联合颁发的《建设工程价款结算暂行办法》（财建[2004]369号）执行。</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采购人完成竣工付款的期限：  按付款约定   。</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关于竣工付款证书异议部分复核的方式和程序：按通用条款。</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14.3 最终结清</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14.3.1 最终结清申请单</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成交供应商提交最终结清申请单的份数：按通用条款。</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成交供应商提交最终结算申请单的期限：按通用条款。 </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14.3.2 最终结清证书和支付</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（1）采购人完成最终结清申请单的审批并颁发最终结清证书的期限：按工程款支付条款约定。</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（2）采购人完成支付的期限：按通用条款。</w:t>
      </w:r>
      <w:r/>
    </w:p>
    <w:p>
      <w:pPr>
        <w:ind w:firstLine="480"/>
        <w:keepLines/>
        <w:keepNext/>
        <w:spacing w:line="360" w:lineRule="auto"/>
        <w:rPr>
          <w:rFonts w:ascii="宋体" w:hAnsi="宋体" w:cs="宋体"/>
          <w:color w:val="000000" w:themeColor="text1"/>
          <w:sz w:val="24"/>
          <w:highlight w:val="none"/>
        </w:rPr>
        <w:outlineLvl w:val="3"/>
      </w:pPr>
      <w:r>
        <w:rPr>
          <w:rFonts w:hint="eastAsia" w:ascii="宋体" w:hAnsi="宋体" w:cs="宋体"/>
          <w:color w:val="000000" w:themeColor="text1"/>
          <w:sz w:val="24"/>
          <w:highlight w:val="none"/>
        </w:rPr>
        <w:t xml:space="preserve">15. 缺陷责任期与保修</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15.1缺陷责任期</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缺陷责任期的具体期限：24个月。</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15.2保修</w:t>
      </w:r>
      <w:r/>
    </w:p>
    <w:p>
      <w:pPr>
        <w:ind w:firstLine="468"/>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15.2.1 保修责任</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工程保修期为：按国家相关规定。</w:t>
      </w:r>
      <w:r/>
    </w:p>
    <w:p>
      <w:pPr>
        <w:ind w:firstLine="468"/>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15.2.3 修复通知</w:t>
      </w:r>
      <w:r/>
    </w:p>
    <w:p>
      <w:pPr>
        <w:ind w:firstLine="484"/>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成交供应商收到保修通知并到达工程现场的合理时间：（1）属于保修范围、内容的项目，成交供应商应当在接到保修通知之日起 2 天内派人保修。成交供应商不在约定期限内派人保修的，采购人可以委托他人修理。2、发生紧急抢修事故的，成交供应商在接到事故通知后，应当立即到达事故现场抢修；成交供应商不按时派人保修的，采购人可以委托他人修理，所发生的费用由成交供应商承担。</w:t>
      </w:r>
      <w:r/>
    </w:p>
    <w:p>
      <w:pPr>
        <w:ind w:firstLine="480"/>
        <w:keepLines/>
        <w:keepNext/>
        <w:spacing w:line="360" w:lineRule="auto"/>
        <w:rPr>
          <w:rFonts w:ascii="宋体" w:hAnsi="宋体" w:cs="宋体"/>
          <w:color w:val="000000" w:themeColor="text1"/>
          <w:sz w:val="24"/>
          <w:highlight w:val="none"/>
        </w:rPr>
        <w:outlineLvl w:val="3"/>
      </w:pPr>
      <w:r>
        <w:rPr>
          <w:rFonts w:hint="eastAsia" w:ascii="宋体" w:hAnsi="宋体" w:cs="宋体"/>
          <w:color w:val="000000" w:themeColor="text1"/>
          <w:sz w:val="24"/>
          <w:highlight w:val="none"/>
        </w:rPr>
        <w:t xml:space="preserve">16. 违约</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16.1 采购人违约</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16.1.1采购人违约的情形</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采购人违约的其他情形：</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left="1200" w:hanging="120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16.1.2 采购人违约的责任</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采购人违约责任的承担方式和计算方法：</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（1）因采购人原因未能在计划开工日期前7天内下达开工通知的违约责任：</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（2）因采购人原因未能按合同约定支付合同价款的违约责任：</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（3）采购人违反第10.1款〔变更的范围〕第（2）项约定，自行实施被取消的工作或转由他人实施的违约责任：</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（4）采购人提供的材料、工程设备的规格、数量或质量不符合合同约定，或因采购人原因导致交货日期延误或交货地点变更等情况的违约责任：</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（5）因采购人违反合同约定造成暂停施工的违约责任：</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（6）采购人无正当理由没有在约定期限内发出复工指示，导致成交供应商无法复工的违约责任：</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（7）其他：</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16.1.3 因采购人违约解除合同</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成交供应商按16.1.1项〔采购人违约的情形〕约定暂停施工满按通用条款天后采购人仍不纠正其违约行为并致使合同目的不能实现的，成交供应商有权解除合同。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16.2 成交供应商违约</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16.2.1 成交供应商违约的情形</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成交供应商违约的其他情形：</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16.2.2成交供应商违约的责任</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成交供应商违约责任的承担方式和计算方法：由成交供应商承担全部责任并承担相关费用。</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16.2.3 因成交供应商违约解除合同</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关于成交供应商违约解除合同的特别约定：按通用条款执行。</w:t>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采购人继续使用成交供应商在施工现场的材料、设备、临时工程、成交供应商文件和由成交供应商或以其名义编制的其他文件的费用承担方式：按通用条款。</w:t>
      </w:r>
      <w:r/>
    </w:p>
    <w:p>
      <w:pPr>
        <w:keepLines/>
        <w:keepNext/>
        <w:spacing w:line="360" w:lineRule="auto"/>
        <w:rPr>
          <w:rFonts w:ascii="宋体" w:hAnsi="宋体" w:cs="宋体"/>
          <w:color w:val="000000" w:themeColor="text1"/>
          <w:sz w:val="24"/>
          <w:highlight w:val="none"/>
        </w:rPr>
        <w:outlineLvl w:val="3"/>
      </w:pPr>
      <w:r>
        <w:rPr>
          <w:rFonts w:hint="eastAsia" w:ascii="宋体" w:hAnsi="宋体" w:cs="宋体"/>
          <w:color w:val="000000" w:themeColor="text1"/>
          <w:sz w:val="24"/>
          <w:highlight w:val="none"/>
        </w:rPr>
        <w:t xml:space="preserve">    17. 不可抗力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17.1 不可抗力的确认</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除通用合同条款约定的不可抗力事件之外，视为不可抗力的其他情形：</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17.2 因不可抗力解除合同</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合同解除后，采购人应在商定或确定采购人应支付款项后  30 天内完成款项的支付。</w:t>
      </w:r>
      <w:r/>
    </w:p>
    <w:p>
      <w:pPr>
        <w:keepLines/>
        <w:keepNext/>
        <w:spacing w:line="360" w:lineRule="auto"/>
        <w:rPr>
          <w:rFonts w:ascii="宋体" w:hAnsi="宋体" w:cs="宋体"/>
          <w:color w:val="000000" w:themeColor="text1"/>
          <w:sz w:val="24"/>
          <w:highlight w:val="none"/>
        </w:rPr>
        <w:outlineLvl w:val="3"/>
      </w:pPr>
      <w:r>
        <w:rPr>
          <w:rFonts w:hint="eastAsia" w:ascii="宋体" w:hAnsi="宋体" w:cs="宋体"/>
          <w:color w:val="000000" w:themeColor="text1"/>
          <w:sz w:val="24"/>
          <w:highlight w:val="none"/>
        </w:rPr>
        <w:t xml:space="preserve">    18. 保险</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 工程保险</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关于工程保险的特别约定：</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18.2 其他保险</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关于其他保险的约定：</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 </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成交供应商是否应为其施工设备等办理财产保险：按通用条款。</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18.3 通知义务</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关于变更保险合同时的通知义务的约定： 按通用条款 。</w:t>
      </w:r>
      <w:r/>
    </w:p>
    <w:p>
      <w:pPr>
        <w:keepLines/>
        <w:keepNext/>
        <w:spacing w:line="360" w:lineRule="auto"/>
        <w:rPr>
          <w:rFonts w:ascii="宋体" w:hAnsi="宋体" w:cs="宋体"/>
          <w:color w:val="000000" w:themeColor="text1"/>
          <w:sz w:val="24"/>
          <w:highlight w:val="none"/>
        </w:rPr>
        <w:outlineLvl w:val="3"/>
      </w:pPr>
      <w:r>
        <w:rPr>
          <w:rFonts w:hint="eastAsia" w:ascii="宋体" w:hAnsi="宋体" w:cs="宋体"/>
          <w:color w:val="000000" w:themeColor="text1"/>
          <w:sz w:val="24"/>
          <w:highlight w:val="none"/>
        </w:rPr>
        <w:t xml:space="preserve">    19. 争议解决</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19.1 争议评审</w:t>
      </w:r>
      <w:r/>
    </w:p>
    <w:p>
      <w:pPr>
        <w:ind w:left="149" w:firstLine="36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合同当事人是否同意将工程争议提交争议评审小组决定：</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  </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19.1.1 争议评审小组的确定</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争议评审小组成员的确定：</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选定争议评审员的期限： </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 。</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争议评审小组成员的报酬承担方式：</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 。</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其他事项的约定： </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19.1.2 争议评审小组的决定</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合同当事人关于本项的约定：</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 w:val="24"/>
          <w:highlight w:val="none"/>
        </w:rPr>
        <w:t xml:space="preserve">。</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19.2仲裁或诉讼</w:t>
      </w:r>
      <w:r/>
    </w:p>
    <w:p>
      <w:pPr>
        <w:ind w:firstLine="480"/>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因合同及合同有关事项发生的争议，按下列第2种方式解决： </w:t>
      </w:r>
      <w:r/>
    </w:p>
    <w:p>
      <w:pPr>
        <w:ind w:firstLine="480"/>
        <w:jc w:val="left"/>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（1）向仲裁委员会申请仲裁；</w:t>
      </w:r>
      <w:r/>
    </w:p>
    <w:p>
      <w:pPr>
        <w:ind w:firstLine="480"/>
        <w:jc w:val="left"/>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（2）向工程所在地人民法院起诉。</w:t>
      </w:r>
      <w:r>
        <w:rPr>
          <w:rFonts w:hint="eastAsia" w:ascii="宋体" w:hAnsi="宋体" w:cs="宋体"/>
          <w:b/>
          <w:bCs/>
          <w:color w:val="000000" w:themeColor="text1"/>
          <w:sz w:val="32"/>
          <w:szCs w:val="32"/>
          <w:highlight w:val="none"/>
        </w:rPr>
        <w:br w:type="page" w:clear="all"/>
      </w:r>
      <w:r>
        <w:rPr>
          <w:rFonts w:ascii="宋体" w:hAnsi="宋体" w:cs="宋体"/>
          <w:color w:val="000000" w:themeColor="text1"/>
          <w:sz w:val="24"/>
          <w:highlight w:val="none"/>
        </w:rPr>
      </w:r>
      <w:r/>
    </w:p>
    <w:p>
      <w:pPr>
        <w:spacing w:line="499" w:lineRule="atLeast"/>
        <w:widowControl/>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合同附件：</w:t>
      </w:r>
      <w:r/>
    </w:p>
    <w:p>
      <w:pPr>
        <w:jc w:val="center"/>
        <w:spacing w:line="499" w:lineRule="atLeast"/>
        <w:widowControl/>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项目建设供应商承诺函</w:t>
      </w:r>
      <w:r/>
    </w:p>
    <w:p>
      <w:pPr>
        <w:ind w:firstLine="420"/>
        <w:spacing w:line="480" w:lineRule="auto"/>
        <w:rPr>
          <w:rFonts w:ascii="宋体" w:hAnsi="宋体" w:cs="宋体"/>
          <w:color w:val="000000" w:themeColor="text1"/>
          <w:szCs w:val="21"/>
          <w:highlight w:val="none"/>
        </w:rPr>
      </w:pPr>
      <w:r>
        <w:rPr>
          <w:rFonts w:ascii="宋体" w:hAnsi="宋体" w:cs="宋体"/>
          <w:color w:val="000000" w:themeColor="text1"/>
          <w:szCs w:val="21"/>
          <w:highlight w:val="none"/>
        </w:rPr>
      </w:r>
      <w:r/>
    </w:p>
    <w:p>
      <w:pPr>
        <w:ind w:firstLine="420"/>
        <w:spacing w:line="48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对未列出的其他事项，严格按照法律法规等具体规定执行。</w:t>
      </w:r>
      <w:r/>
    </w:p>
    <w:p>
      <w:pPr>
        <w:ind w:firstLine="420"/>
        <w:spacing w:line="48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现承诺，我单位在履行</w:t>
      </w:r>
      <w:r>
        <w:rPr>
          <w:rFonts w:hint="eastAsia" w:ascii="宋体" w:hAnsi="宋体" w:cs="宋体"/>
          <w:color w:val="000000" w:themeColor="text1"/>
          <w:sz w:val="24"/>
          <w:highlight w:val="none"/>
          <w:u w:val="single"/>
        </w:rPr>
        <w:t xml:space="preserve">    （ 项目名称  ）         </w:t>
      </w:r>
      <w:r>
        <w:rPr>
          <w:rFonts w:hint="eastAsia" w:ascii="宋体" w:hAnsi="宋体" w:cs="宋体"/>
          <w:color w:val="000000" w:themeColor="text1"/>
          <w:sz w:val="24"/>
          <w:highlight w:val="none"/>
        </w:rPr>
        <w:t xml:space="preserve">的项目建设中，将严格按照提示函的内容和要求执行，如若违反愿意承担相应的责任。</w:t>
      </w:r>
      <w:r/>
    </w:p>
    <w:p>
      <w:pPr>
        <w:spacing w:line="48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ind w:firstLine="720"/>
        <w:spacing w:line="48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供应商项目负责人（签字）：            联系方式：</w:t>
      </w:r>
      <w:r/>
    </w:p>
    <w:p>
      <w:pPr>
        <w:jc w:val="center"/>
        <w:spacing w:line="499" w:lineRule="atLeast"/>
        <w:widowControl/>
        <w:rPr>
          <w:rFonts w:ascii="宋体" w:hAnsi="宋体" w:cs="宋体"/>
          <w:color w:val="000000" w:themeColor="text1"/>
          <w:sz w:val="24"/>
          <w:highlight w:val="none"/>
        </w:rPr>
      </w:pPr>
      <w:r>
        <w:rPr>
          <w:rFonts w:ascii="宋体" w:hAnsi="宋体" w:cs="宋体"/>
          <w:color w:val="000000" w:themeColor="text1"/>
          <w:sz w:val="24"/>
          <w:highlight w:val="none"/>
        </w:rPr>
      </w:r>
      <w:r/>
    </w:p>
    <w:p>
      <w:pPr>
        <w:jc w:val="center"/>
        <w:spacing w:line="499" w:lineRule="atLeas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单位名称（盖章）：</w:t>
      </w:r>
      <w:r/>
    </w:p>
    <w:p>
      <w:pPr>
        <w:jc w:val="right"/>
        <w:spacing w:line="499" w:lineRule="atLeas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年</w:t>
      </w:r>
      <w:r>
        <w:rPr>
          <w:rFonts w:hint="eastAsia" w:ascii="宋体" w:hAnsi="宋体" w:cs="宋体"/>
          <w:color w:val="000000" w:themeColor="text1"/>
          <w:sz w:val="24"/>
          <w:highlight w:val="none"/>
          <w:lang w:val="en-US" w:eastAsia="zh-CN"/>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   </w:t>
      </w:r>
      <w:r>
        <w:rPr>
          <w:rFonts w:hint="eastAsia" w:ascii="宋体" w:hAnsi="宋体" w:cs="宋体"/>
          <w:color w:val="000000" w:themeColor="text1"/>
          <w:sz w:val="24"/>
          <w:highlight w:val="none"/>
        </w:rPr>
        <w:t xml:space="preserve">日</w:t>
      </w:r>
      <w:r/>
    </w:p>
    <w:p>
      <w:pPr>
        <w:pStyle w:val="803"/>
        <w:jc w:val="center"/>
        <w:spacing w:beforeAutospacing="0" w:afterAutospacing="0"/>
        <w:rPr>
          <w:b/>
          <w:color w:val="000000" w:themeColor="text1"/>
          <w:highlight w:val="none"/>
        </w:rPr>
      </w:pPr>
      <w:r>
        <w:rPr>
          <w:b/>
          <w:color w:val="000000" w:themeColor="text1"/>
          <w:highlight w:val="none"/>
        </w:rPr>
      </w:r>
      <w:r/>
    </w:p>
    <w:p>
      <w:pPr>
        <w:pStyle w:val="803"/>
        <w:jc w:val="center"/>
        <w:spacing w:beforeAutospacing="0" w:afterAutospacing="0"/>
        <w:rPr>
          <w:b/>
          <w:color w:val="000000" w:themeColor="text1"/>
          <w:highlight w:val="none"/>
        </w:rPr>
      </w:pPr>
      <w:r>
        <w:rPr>
          <w:b/>
          <w:color w:val="000000" w:themeColor="text1"/>
          <w:highlight w:val="none"/>
        </w:rPr>
      </w:r>
      <w:r/>
    </w:p>
    <w:p>
      <w:pPr>
        <w:ind w:firstLine="720"/>
        <w:jc w:val="left"/>
        <w:widowControl/>
        <w:rPr>
          <w:rFonts w:ascii="Cambria" w:hAnsi="Cambria"/>
          <w:b/>
          <w:bCs/>
          <w:color w:val="000000" w:themeColor="text1"/>
          <w:sz w:val="36"/>
          <w:szCs w:val="36"/>
          <w:highlight w:val="none"/>
        </w:rPr>
      </w:pPr>
      <w:r>
        <w:rPr>
          <w:color w:val="000000" w:themeColor="text1"/>
          <w:sz w:val="36"/>
          <w:szCs w:val="36"/>
          <w:highlight w:val="none"/>
        </w:rPr>
        <w:br w:type="page" w:clear="all"/>
      </w:r>
      <w:r/>
    </w:p>
    <w:p>
      <w:pPr>
        <w:pStyle w:val="805"/>
        <w:rPr>
          <w:color w:val="000000" w:themeColor="text1"/>
          <w:sz w:val="36"/>
          <w:szCs w:val="36"/>
          <w:highlight w:val="none"/>
        </w:rPr>
      </w:pPr>
      <w:r/>
      <w:bookmarkStart w:id="224" w:name="_Toc212826104"/>
      <w:r/>
      <w:bookmarkStart w:id="225" w:name="_Toc30634"/>
      <w:r>
        <w:rPr>
          <w:rFonts w:hint="eastAsia"/>
          <w:color w:val="000000" w:themeColor="text1"/>
          <w:sz w:val="36"/>
          <w:szCs w:val="36"/>
          <w:highlight w:val="none"/>
        </w:rPr>
        <w:t xml:space="preserve">第四章  项目需求</w:t>
      </w:r>
      <w:bookmarkEnd w:id="224"/>
      <w:r/>
      <w:bookmarkEnd w:id="225"/>
      <w:r/>
      <w:r/>
    </w:p>
    <w:p>
      <w:pPr>
        <w:ind w:firstLine="422"/>
        <w:jc w:val="left"/>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（一）项目背景</w:t>
      </w:r>
      <w:r/>
    </w:p>
    <w:p>
      <w:pPr>
        <w:ind w:firstLine="63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因原盐马路小学内部基础设施陈旧老化、功能缺失，无法满足民警、辅</w:t>
      </w:r>
      <w:r>
        <w:rPr>
          <w:rFonts w:ascii="宋体" w:hAnsi="宋体" w:cs="宋体"/>
          <w:color w:val="000000" w:themeColor="text1"/>
          <w:highlight w:val="none"/>
        </w:rPr>
        <w:t xml:space="preserve">警日常办公</w:t>
      </w:r>
      <w:r>
        <w:rPr>
          <w:rFonts w:hint="eastAsia" w:ascii="宋体" w:hAnsi="宋体" w:cs="宋体"/>
          <w:color w:val="000000" w:themeColor="text1"/>
          <w:highlight w:val="none"/>
        </w:rPr>
        <w:t xml:space="preserve">生活的需要。现</w:t>
      </w:r>
      <w:r>
        <w:rPr>
          <w:rFonts w:ascii="宋体" w:hAnsi="宋体" w:cs="宋体"/>
          <w:color w:val="000000" w:themeColor="text1"/>
          <w:highlight w:val="none"/>
        </w:rPr>
        <w:t xml:space="preserve">需</w:t>
      </w:r>
      <w:r>
        <w:rPr>
          <w:rFonts w:hint="eastAsia" w:ascii="宋体" w:hAnsi="宋体" w:cs="宋体"/>
          <w:color w:val="000000" w:themeColor="text1"/>
          <w:highlight w:val="none"/>
        </w:rPr>
        <w:t xml:space="preserve">对原盐马路小学进行维修改造，以便作为文峰中队营房使用。</w:t>
      </w:r>
      <w:r/>
    </w:p>
    <w:p>
      <w:pPr>
        <w:pStyle w:val="1114"/>
        <w:spacing w:line="360" w:lineRule="auto"/>
        <w:rPr>
          <w:rFonts w:ascii="宋体" w:hAnsi="宋体" w:cs="宋体"/>
          <w:bCs/>
          <w:color w:val="000000" w:themeColor="text1"/>
          <w:highlight w:val="none"/>
        </w:rPr>
      </w:pPr>
      <w:r>
        <w:rPr>
          <w:rFonts w:hint="eastAsia" w:ascii="宋体" w:hAnsi="宋体" w:cs="宋体"/>
          <w:b/>
          <w:bCs/>
          <w:color w:val="000000" w:themeColor="text1"/>
          <w:highlight w:val="none"/>
        </w:rPr>
        <w:t xml:space="preserve">（二）</w:t>
      </w:r>
      <w:r>
        <w:rPr>
          <w:rFonts w:hint="eastAsia" w:ascii="宋体" w:hAnsi="宋体" w:cs="宋体"/>
          <w:b/>
          <w:color w:val="000000" w:themeColor="text1"/>
          <w:highlight w:val="none"/>
        </w:rPr>
        <w:t xml:space="preserve">发包范围：</w:t>
      </w:r>
      <w:r>
        <w:rPr>
          <w:rFonts w:hint="eastAsia" w:ascii="宋体" w:hAnsi="宋体" w:cs="宋体"/>
          <w:bCs/>
          <w:color w:val="000000" w:themeColor="text1"/>
          <w:highlight w:val="none"/>
        </w:rPr>
        <w:t xml:space="preserve">文峰中队营房进行提升改造，具体以采购人提供的工程量清单和图纸为准，采购人保留对上述工程量及范围适当调整的权利。</w:t>
      </w:r>
      <w:r/>
    </w:p>
    <w:p>
      <w:pPr>
        <w:ind w:firstLine="422"/>
        <w:spacing w:line="360" w:lineRule="auto"/>
        <w:rPr>
          <w:rFonts w:ascii="宋体" w:hAnsi="宋体" w:cs="宋体"/>
          <w:color w:val="000000" w:themeColor="text1"/>
          <w:highlight w:val="none"/>
        </w:rPr>
      </w:pPr>
      <w:r>
        <w:rPr>
          <w:rFonts w:hint="eastAsia" w:ascii="宋体" w:hAnsi="宋体"/>
          <w:b/>
          <w:bCs/>
          <w:color w:val="000000" w:themeColor="text1"/>
          <w:highlight w:val="none"/>
        </w:rPr>
        <w:t xml:space="preserve">（三）工</w:t>
      </w:r>
      <w:r>
        <w:rPr>
          <w:rFonts w:hint="eastAsia" w:ascii="宋体" w:hAnsi="宋体" w:cs="宋体"/>
          <w:b/>
          <w:bCs/>
          <w:color w:val="000000" w:themeColor="text1"/>
          <w:highlight w:val="none"/>
        </w:rPr>
        <w:t xml:space="preserve">期要求：120</w:t>
      </w:r>
      <w:r>
        <w:rPr>
          <w:rFonts w:hint="eastAsia" w:ascii="宋体" w:hAnsi="宋体" w:cs="宋体"/>
          <w:color w:val="000000" w:themeColor="text1"/>
          <w:highlight w:val="none"/>
        </w:rPr>
        <w:t xml:space="preserve">日历天（具体开工日期以采购人通知为准）。</w:t>
      </w:r>
      <w:r/>
    </w:p>
    <w:p>
      <w:pPr>
        <w:ind w:firstLine="422"/>
        <w:spacing w:line="360" w:lineRule="auto"/>
        <w:rPr>
          <w:rFonts w:ascii="宋体" w:hAnsi="宋体" w:cs="楷体_GB2312"/>
          <w:b/>
          <w:color w:val="000000" w:themeColor="text1"/>
          <w:szCs w:val="21"/>
          <w:highlight w:val="none"/>
        </w:rPr>
      </w:pPr>
      <w:r>
        <w:rPr>
          <w:rFonts w:hint="eastAsia" w:ascii="宋体" w:hAnsi="宋体" w:cs="宋体"/>
          <w:b/>
          <w:bCs/>
          <w:color w:val="000000" w:themeColor="text1"/>
          <w:highlight w:val="none"/>
        </w:rPr>
        <w:t xml:space="preserve">（四）质量要求：</w:t>
      </w:r>
      <w:r>
        <w:rPr>
          <w:rFonts w:hint="eastAsia" w:ascii="宋体" w:hAnsi="宋体" w:cs="宋体"/>
          <w:color w:val="000000" w:themeColor="text1"/>
          <w:highlight w:val="none"/>
        </w:rPr>
        <w:t xml:space="preserve">合格，须满足招标方各项要求。</w:t>
      </w:r>
      <w:r/>
    </w:p>
    <w:p>
      <w:pPr>
        <w:pStyle w:val="1159"/>
        <w:ind w:left="0" w:firstLine="422"/>
        <w:spacing w:line="360" w:lineRule="auto"/>
        <w:rPr>
          <w:rFonts w:cs="宋体"/>
          <w:b/>
          <w:bCs/>
          <w:color w:val="000000" w:themeColor="text1"/>
          <w:highlight w:val="none"/>
        </w:rPr>
      </w:pPr>
      <w:r>
        <w:rPr>
          <w:rFonts w:hint="eastAsia" w:cs="宋体"/>
          <w:b/>
          <w:bCs/>
          <w:color w:val="000000" w:themeColor="text1"/>
          <w:highlight w:val="none"/>
        </w:rPr>
        <w:t xml:space="preserve">（五）★项目组成员要求（投标供应商项目组成员低于本项要求的，其投标无效）：</w:t>
      </w:r>
      <w:r/>
    </w:p>
    <w:p>
      <w:pPr>
        <w:ind w:firstLine="422"/>
        <w:jc w:val="left"/>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1.本项目项目组成员不得少于2人。其中项目负责人1名，技术负责人不少于1名；</w:t>
      </w:r>
      <w:r/>
    </w:p>
    <w:p>
      <w:pPr>
        <w:ind w:firstLine="422"/>
        <w:jc w:val="left"/>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2.项目组成员必须为投标人在职员工（劳动关系）。投标时，须提供投标人为项目组成员缴纳的近三个月以来任意一个月的社保证明并加盖公章。如投标人未提供项目组成员社保证明或社保证明时间不符合本项要求的，该项目组成员按无效处理。</w:t>
      </w:r>
      <w:r/>
    </w:p>
    <w:p>
      <w:pPr>
        <w:pStyle w:val="1159"/>
        <w:ind w:left="0" w:firstLine="422"/>
        <w:spacing w:line="360" w:lineRule="auto"/>
        <w:rPr>
          <w:rFonts w:cs="宋体"/>
          <w:b/>
          <w:bCs/>
          <w:color w:val="000000" w:themeColor="text1"/>
          <w:highlight w:val="none"/>
        </w:rPr>
      </w:pPr>
      <w:r>
        <w:rPr>
          <w:rFonts w:hint="eastAsia" w:cs="宋体"/>
          <w:b/>
          <w:bCs/>
          <w:color w:val="000000" w:themeColor="text1"/>
          <w:highlight w:val="none"/>
        </w:rPr>
        <w:t xml:space="preserve">（六）项目要求：</w:t>
      </w:r>
      <w:r/>
    </w:p>
    <w:p>
      <w:pPr>
        <w:ind w:firstLine="422"/>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1.质量及其他要求：</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1.1质量保证：工程验收后合格</w:t>
      </w:r>
      <w:r>
        <w:rPr>
          <w:rFonts w:hint="eastAsia" w:ascii="宋体" w:hAnsi="宋体" w:cs="宋体"/>
          <w:b/>
          <w:bCs/>
          <w:color w:val="000000" w:themeColor="text1"/>
          <w:szCs w:val="21"/>
          <w:highlight w:val="none"/>
        </w:rPr>
        <w:t xml:space="preserve">叁年</w:t>
      </w:r>
      <w:r>
        <w:rPr>
          <w:rFonts w:hint="eastAsia" w:ascii="宋体" w:hAnsi="宋体" w:cs="宋体"/>
          <w:color w:val="000000" w:themeColor="text1"/>
          <w:szCs w:val="21"/>
          <w:highlight w:val="none"/>
        </w:rPr>
        <w:t xml:space="preserve">免费维保。在免费保修内，非人为破坏，投标人应负责免费更换保修；</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1.2服务要求：投标人在收到维护、维修通知后，</w:t>
      </w:r>
      <w:r>
        <w:rPr>
          <w:rFonts w:hint="eastAsia" w:ascii="宋体" w:hAnsi="宋体" w:cs="宋体"/>
          <w:color w:val="000000" w:themeColor="text1"/>
          <w:szCs w:val="21"/>
          <w:highlight w:val="none"/>
          <w:u w:val="single"/>
        </w:rPr>
        <w:t xml:space="preserve">1</w:t>
      </w:r>
      <w:r>
        <w:rPr>
          <w:rFonts w:hint="eastAsia" w:ascii="宋体" w:hAnsi="宋体" w:cs="宋体"/>
          <w:color w:val="000000" w:themeColor="text1"/>
          <w:szCs w:val="21"/>
          <w:highlight w:val="none"/>
        </w:rPr>
        <w:t xml:space="preserve">小时内做出响应，并在1个工作日内提出解决方案并得到采购人认可后，按期保质维修到位。如未及时响应或未及时提出解决方案或未按期解决，采购人有权委托第三方维修，维修费用由投标供应商承担；</w:t>
      </w:r>
      <w:r/>
    </w:p>
    <w:p>
      <w:pPr>
        <w:ind w:firstLine="422"/>
        <w:spacing w:line="360" w:lineRule="auto"/>
        <w:rPr>
          <w:color w:val="000000" w:themeColor="text1"/>
          <w:highlight w:val="none"/>
        </w:rPr>
      </w:pPr>
      <w:r>
        <w:rPr>
          <w:rFonts w:hint="eastAsia" w:ascii="宋体" w:hAnsi="宋体" w:cs="宋体"/>
          <w:b/>
          <w:color w:val="000000" w:themeColor="text1"/>
          <w:szCs w:val="21"/>
          <w:highlight w:val="none"/>
        </w:rPr>
        <w:t xml:space="preserve">1.</w:t>
      </w:r>
      <w:r>
        <w:rPr>
          <w:rFonts w:ascii="宋体" w:hAnsi="宋体" w:cs="宋体"/>
          <w:b/>
          <w:color w:val="000000" w:themeColor="text1"/>
          <w:szCs w:val="21"/>
          <w:highlight w:val="none"/>
        </w:rPr>
        <w:t xml:space="preserve">3</w:t>
      </w:r>
      <w:r>
        <w:rPr>
          <w:rFonts w:hint="eastAsia" w:cs="宋体"/>
          <w:b/>
          <w:color w:val="000000" w:themeColor="text1"/>
          <w:szCs w:val="21"/>
          <w:highlight w:val="none"/>
        </w:rPr>
        <w:t xml:space="preserve">签订合同时本项目经理资格证书须交于采购人管理。</w:t>
      </w:r>
      <w:r/>
    </w:p>
    <w:p>
      <w:pPr>
        <w:ind w:firstLine="422"/>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1.4特别说明（要求）：成交供应商必须严格遵守有关操作规定（行业服务规范等）与安全规定等相关规定，做好施工人员实名制管理工作，加强对施工人员的安全教育，并为施工人员交纳人身意外伤害保险。服务期（服务期包括施工期、质保期）内，产生的任何安全事故（含对第三方产生的损害）均由成交供应商负责及承担，与采购人无关（详见附件4：工程安全生产责任状）。</w:t>
      </w:r>
      <w:r/>
    </w:p>
    <w:p>
      <w:pPr>
        <w:ind w:firstLine="420"/>
        <w:spacing w:line="360" w:lineRule="auto"/>
        <w:rPr>
          <w:rFonts w:ascii="宋体" w:hAnsi="宋体" w:cs="宋体"/>
          <w:color w:val="000000" w:themeColor="text1"/>
          <w:szCs w:val="21"/>
          <w:highlight w:val="none"/>
        </w:rPr>
      </w:pPr>
      <w:r>
        <w:rPr>
          <w:rFonts w:hint="eastAsia" w:ascii="宋体" w:hAnsi="宋体"/>
          <w:color w:val="000000" w:themeColor="text1"/>
          <w:highlight w:val="none"/>
        </w:rPr>
        <w:t xml:space="preserve">1.5成交供应商须严格落实在投标文件中所提供的“施工组织方案”及项目负责人评审现场所做出的工程措施承诺等，有1项未落的违约金按照合同价的1%扣款处理，有2项及以上未落实的采购人有权解除合同，</w:t>
      </w:r>
      <w:r>
        <w:rPr>
          <w:rFonts w:hint="eastAsia" w:ascii="宋体" w:hAnsi="宋体" w:cs="宋体"/>
          <w:color w:val="000000" w:themeColor="text1"/>
          <w:szCs w:val="21"/>
          <w:highlight w:val="none"/>
        </w:rPr>
        <w:t xml:space="preserve">同时由此造成的损失均由成交供应商承担。</w:t>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1.6成交通知书发出后30日内须与采购人签订合同，合同签订后120天内须竣工并申请采购人验收，超过工期完成的，违约金按照合同价的500元/日扣款处理，在限期内未完成的采购人将直接委托第三方代为赶工，所发生的实际费用由成交供应商承担，同时接受采购人以每次10000元的经济处罚，相关费用直接从应付工程款项中扣除。拒绝执行上述条款的，采购人有权清退中标供应商，同时由此造成的损失均由成交供应商承担，并承担违约责任。</w:t>
      </w:r>
      <w:r/>
    </w:p>
    <w:p>
      <w:pPr>
        <w:ind w:firstLine="422"/>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2.现场踏勘</w:t>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2.1根据现场的实际情况将本工程可预见的相关费用自行考虑到投标报价中。采购人向投标供应商提供的有关现场的数据和资料，是采购人现有的能够被投标供应商利用的资料，采购人对投标供应商做出的任何推论、理解和结论均不负责任。</w:t>
      </w:r>
      <w:r>
        <w:rPr>
          <w:rFonts w:hint="eastAsia" w:ascii="宋体" w:hAnsi="宋体"/>
          <w:b/>
          <w:bCs/>
          <w:color w:val="000000" w:themeColor="text1"/>
          <w:highlight w:val="none"/>
          <w:u w:val="single"/>
        </w:rPr>
        <w:t xml:space="preserve">因本项目报价需联系现场实际情况，所以各投标人投标前应踏勘现场以了解项目实际情况（包括进出场道路及施工作业面情况、采购人需达成的施工效果等）。现场踏勘时须确保完全了解项目情况，并充分考虑各项足以影响承包价格的情况。本项目施工时场内、外矛盾由施工单位自行解决并承担费用，中标后不得以未踏勘现场或踏勘现场不细致而消极怠工或要求增加费用。投标人的现场踏勘行为有任何费用、责任须自行承担，不得因此使采购人承担有关的责任和蒙受损失。</w:t>
      </w:r>
      <w:r/>
    </w:p>
    <w:p>
      <w:pPr>
        <w:ind w:firstLine="422"/>
        <w:spacing w:line="360" w:lineRule="auto"/>
        <w:rPr>
          <w:rFonts w:ascii="宋体" w:hAnsi="宋体"/>
          <w:b/>
          <w:bCs/>
          <w:color w:val="000000" w:themeColor="text1"/>
          <w:highlight w:val="none"/>
          <w:u w:val="single"/>
        </w:rPr>
      </w:pPr>
      <w:r>
        <w:rPr>
          <w:rFonts w:hint="eastAsia" w:ascii="宋体" w:hAnsi="宋体"/>
          <w:b/>
          <w:bCs/>
          <w:color w:val="000000" w:themeColor="text1"/>
          <w:highlight w:val="none"/>
          <w:u w:val="single"/>
        </w:rPr>
        <w:t xml:space="preserve">踏勘地点: 盐城市亭湖区盐马路33-2号（原盐马路小学）；</w:t>
      </w:r>
      <w:r/>
    </w:p>
    <w:p>
      <w:pPr>
        <w:ind w:firstLine="422"/>
        <w:spacing w:line="360" w:lineRule="auto"/>
        <w:rPr>
          <w:rFonts w:ascii="宋体" w:hAnsi="宋体"/>
          <w:b/>
          <w:bCs/>
          <w:color w:val="000000" w:themeColor="text1"/>
          <w:highlight w:val="none"/>
          <w:u w:val="single"/>
        </w:rPr>
      </w:pPr>
      <w:r>
        <w:rPr>
          <w:rFonts w:hint="eastAsia" w:ascii="宋体" w:hAnsi="宋体"/>
          <w:b/>
          <w:bCs/>
          <w:color w:val="000000" w:themeColor="text1"/>
          <w:highlight w:val="none"/>
          <w:u w:val="single"/>
        </w:rPr>
        <w:t xml:space="preserve">联系人：王警官 电话：13962000616。</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2.2供应商踏勘现场发生的费用自理，自行承担在踏勘现场中所发生的人员伤亡和财产损失。</w:t>
      </w:r>
      <w:r/>
    </w:p>
    <w:p>
      <w:pPr>
        <w:ind w:firstLine="420"/>
        <w:jc w:val="left"/>
        <w:spacing w:line="360" w:lineRule="auto"/>
        <w:rPr>
          <w:rFonts w:ascii="宋体" w:hAnsi="宋体" w:cs="宋体"/>
          <w:color w:val="000000" w:themeColor="text1"/>
          <w:sz w:val="24"/>
          <w:highlight w:val="none"/>
        </w:rPr>
      </w:pPr>
      <w:r>
        <w:rPr>
          <w:rFonts w:hint="eastAsia" w:ascii="宋体" w:hAnsi="宋体" w:cs="宋体"/>
          <w:color w:val="000000" w:themeColor="text1"/>
          <w:szCs w:val="21"/>
          <w:highlight w:val="none"/>
        </w:rPr>
        <w:t xml:space="preserve">2.3投标人于</w:t>
      </w:r>
      <w:r>
        <w:rPr>
          <w:rFonts w:hint="eastAsia" w:ascii="宋体" w:hAnsi="宋体" w:cs="宋体"/>
          <w:color w:val="000000" w:themeColor="text1"/>
          <w:szCs w:val="21"/>
          <w:highlight w:val="none"/>
          <w:lang w:val="en-US" w:eastAsia="zh-CN"/>
        </w:rPr>
        <w:t xml:space="preserve">2026</w:t>
      </w:r>
      <w:r>
        <w:rPr>
          <w:rFonts w:hint="eastAsia" w:ascii="宋体" w:hAnsi="宋体" w:cs="宋体"/>
          <w:color w:val="000000" w:themeColor="text1"/>
          <w:szCs w:val="21"/>
          <w:highlight w:val="none"/>
        </w:rPr>
        <w:t xml:space="preserve">年01月09日上午9:30-11:00集中至采购项目现场进行勘察，投标人应当充分了解项目位置、情况、道路、储存空间、装卸限制及任何其它足以影响报价的情况，并根据现场的实际情况和采购人提供的工程量清单（见下表）将可预见的相关费用（包括地方矛盾）自行考虑到投标报中</w:t>
      </w:r>
      <w:r>
        <w:rPr>
          <w:rFonts w:hint="eastAsia" w:ascii="宋体" w:hAnsi="宋体" w:cs="宋体"/>
          <w:color w:val="000000" w:themeColor="text1"/>
          <w:sz w:val="24"/>
          <w:highlight w:val="none"/>
        </w:rPr>
        <w:t xml:space="preserve">。</w:t>
      </w:r>
      <w:r/>
    </w:p>
    <w:p>
      <w:pPr>
        <w:ind w:firstLine="422"/>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（七）技术条款及投标报价说明</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一、技术条款</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1、供应商应按本合同约定的时间和要求完成以下工作：</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1.1应提供计划、报表的名称及完成时间：按甲方和监理工程师的要求。         </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1.2承担施工安全保卫工作和非夜间施工照明的责任和要求：①本工程必须确保安全，供应商自行承担工程施工过程中的工程质量、任何状况下的安全责任。非采购人原因，发生的一切问题和责任与采购人无关，相关一切费用或民事、刑事责任均由乙方自理。②供应商必须遵守江苏省建设厅及盐城市建设主管部门颁布的《建设工程施工安全管理规定》和《建设工程文明施工管理规定》。③供应商进场后，必须服从甲方、监理单位对施工场地总平面的规划，服从甲</w:t>
      </w:r>
      <w:r>
        <w:rPr>
          <w:rFonts w:hint="eastAsia" w:ascii="宋体" w:hAnsi="宋体" w:cs="宋体"/>
          <w:color w:val="000000" w:themeColor="text1"/>
          <w:szCs w:val="21"/>
          <w:highlight w:val="none"/>
        </w:rPr>
        <w:t xml:space="preserve">方、监理单位的统一调度和指挥。④采购人、监理单位将不定期对供应商的施工质量、安全、文明施工进行检查，如发现工程现场及生活区内安全、文明施工管理较差，有权要求承包单位整改并通报批评，如发生二次通报批评情况，可按现场有关规定进行处罚。⑤供应商在组织施工时需及时清运施工废弃物，苗木、材料堆放整齐有序，保持施工场地整洁、交通畅顺。服从甲方及相关主管部门的管理要求，主动协调、解决问题，若在施工期间出现因场地脏乱、交通不顺等违反文明施工管理规定的情况，所发生的一切费用均由供应商承担，同时还须接受采购人的经济处罚。   </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1.3承担协调解决工程实施中的各种矛盾及费用。</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1.4需供应商办理的有关施工场地交通环卫和施工噪音管理等手续： 根据现场情况，供应商自行协调解决 ，并承担由此发生的费用。</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1.5承担费用负责已竣工但未交付采购人之前的工程保护工作；对工程成品保护的特殊要求及费用承担：供应商负责做好工程成品保护，并承担相应的费用。</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1.6保障施工场地清洁符合环境卫生管理的有关规定，并且做到：文明施工，施工垃圾随产随清。 </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1.7双方约定的供应商应做的其他工作：招标时，采购人已要求供应商自行到施工现场踏勘。采购人仅提供现有的施工场地现状，施工用水、电手续由乙方自行办理，其费用由供应商自行挂表并到相关部门缴纳，此费用已经包含在合同价中，结算时不另行调整。 </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2、安全施工</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2.1供应商应遵守工程建设安全生产有关管理规定，严格按安全标准组织施工，并随时接受行业安全检查人员依法实施的监督检查，采取必要的安全防护措施，消除事故隐患。由于供应商安全措施不力造成事故的责任和因此发生的费用，由供应商承担。</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2.2采购人应对其在施工场地的工作人员进行安全教育，并对他们的安全负责。采购人不得要求供应商违反安全管理的规定进行施工。</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2.3发生重大伤亡及其他安全事故，供应商应按有关规定立即上报有关部门并通知采购人，同时按政府有关部门要求处理，由事故责任方承担发生的费用。</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2.4采购人、供应商对事故责任有争议时，应按政府有关部门认定处理。</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二、投标报价要求</w:t>
      </w:r>
      <w:r/>
    </w:p>
    <w:p>
      <w:pPr>
        <w:ind w:firstLine="422"/>
        <w:spacing w:line="360" w:lineRule="auto"/>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1、投标报价为投标供应商在投标文件中提出的各项支付金额的总和。投标报价应包括投标供应商在承诺工期内，达到投标供应商所承诺的质量标准，为完成本工程</w:t>
      </w:r>
      <w:r>
        <w:rPr>
          <w:rFonts w:hint="eastAsia" w:ascii="宋体" w:hAnsi="宋体" w:cs="宋体"/>
          <w:b/>
          <w:bCs/>
          <w:color w:val="000000" w:themeColor="text1"/>
          <w:szCs w:val="21"/>
          <w:highlight w:val="none"/>
          <w:lang w:eastAsia="zh-CN"/>
        </w:rPr>
        <w:t xml:space="preserve">磋商文件</w:t>
      </w:r>
      <w:r>
        <w:rPr>
          <w:rFonts w:hint="eastAsia" w:ascii="宋体" w:hAnsi="宋体" w:cs="宋体"/>
          <w:b/>
          <w:bCs/>
          <w:color w:val="000000" w:themeColor="text1"/>
          <w:szCs w:val="21"/>
          <w:highlight w:val="none"/>
        </w:rPr>
        <w:t xml:space="preserve">及招标工程量清单所确定的招标范围内的全部内容，所需要支付的一切费用和拟获得的利润、税金，并考虑了应承担的风险。凡漏项或少计均视为已包含在本次投标报价的范围内，采购人不再另行增加费用，竣工结算时综合单价不调整，工程量按实结算。</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投标报价的方式：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w:t>
      </w:r>
      <w:r>
        <w:rPr>
          <w:rFonts w:hint="eastAsia" w:ascii="宋体" w:hAnsi="宋体" w:cs="宋体"/>
          <w:color w:val="000000" w:themeColor="text1"/>
          <w:szCs w:val="21"/>
          <w:highlight w:val="none"/>
          <w:lang w:eastAsia="zh-CN"/>
        </w:rPr>
        <w:t xml:space="preserve">采购人</w:t>
      </w:r>
      <w:r>
        <w:rPr>
          <w:rFonts w:hint="eastAsia" w:ascii="宋体" w:hAnsi="宋体" w:cs="宋体"/>
          <w:color w:val="000000" w:themeColor="text1"/>
          <w:szCs w:val="21"/>
          <w:highlight w:val="none"/>
        </w:rPr>
        <w:t xml:space="preserve">对工期、质量等的要求，并计入综合单价，中标后竣工结算时除施工合同约定允许调整外综合单价不予调整。</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3、投标报价的计价方法</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投标人应根据采购人提供的招标量清单计算工程项目的综合单价和合价。</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工程量清单中每一个清单项均需计算并填写综合单价、合价。对施工中发生的所有措施费及可预见费用等，由施工单位自行考虑，计入单价和总价。</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投标人的投标报价（包含本项目全部费用）不得超过最高限价。</w:t>
      </w:r>
      <w:r/>
    </w:p>
    <w:p>
      <w:pPr>
        <w:numPr>
          <w:ilvl w:val="0"/>
          <w:numId w:val="4"/>
        </w:numPr>
        <w:ind w:firstLine="422"/>
        <w:spacing w:line="360" w:lineRule="auto"/>
        <w:widowControl/>
        <w:rPr>
          <w:color w:val="000000" w:themeColor="text1"/>
          <w:highlight w:val="none"/>
        </w:rPr>
      </w:pPr>
      <w:r>
        <w:rPr>
          <w:rFonts w:hint="eastAsia" w:ascii="宋体" w:hAnsi="宋体" w:cs="宋体"/>
          <w:b/>
          <w:bCs/>
          <w:color w:val="000000" w:themeColor="text1"/>
          <w:szCs w:val="21"/>
          <w:highlight w:val="none"/>
        </w:rPr>
        <w:t xml:space="preserve">招标清单</w:t>
      </w:r>
      <w:r/>
    </w:p>
    <w:p>
      <w:pPr>
        <w:pStyle w:val="818"/>
        <w:rPr>
          <w:color w:val="000000" w:themeColor="text1"/>
          <w:highlight w:val="none"/>
        </w:rPr>
      </w:pPr>
      <w:r>
        <w:rPr>
          <w:color w:val="000000" w:themeColor="text1"/>
          <w:highlight w:val="none"/>
        </w:rPr>
      </w:r>
      <w:r/>
    </w:p>
    <w:tbl>
      <w:tblPr>
        <w:tblStyle w:val="768"/>
        <w:tblW w:w="9875" w:type="dxa"/>
        <w:tblInd w:w="93" w:type="dxa"/>
        <w:tblLayout w:type="fixed"/>
        <w:tblCellMar>
          <w:left w:w="108" w:type="dxa"/>
          <w:top w:w="0" w:type="dxa"/>
          <w:right w:w="108" w:type="dxa"/>
          <w:bottom w:w="0" w:type="dxa"/>
        </w:tblCellMar>
        <w:tblLook w:val="04A0" w:firstRow="1" w:lastRow="0" w:firstColumn="1" w:lastColumn="0" w:noHBand="0" w:noVBand="1"/>
      </w:tblPr>
      <w:tblGrid>
        <w:gridCol w:w="513"/>
        <w:gridCol w:w="67"/>
        <w:gridCol w:w="190"/>
        <w:gridCol w:w="391"/>
        <w:gridCol w:w="743"/>
        <w:gridCol w:w="27"/>
        <w:gridCol w:w="1014"/>
        <w:gridCol w:w="526"/>
        <w:gridCol w:w="175"/>
        <w:gridCol w:w="824"/>
        <w:gridCol w:w="337"/>
        <w:gridCol w:w="447"/>
        <w:gridCol w:w="57"/>
        <w:gridCol w:w="420"/>
        <w:gridCol w:w="131"/>
        <w:gridCol w:w="123"/>
        <w:gridCol w:w="68"/>
        <w:gridCol w:w="65"/>
        <w:gridCol w:w="709"/>
        <w:gridCol w:w="11"/>
        <w:gridCol w:w="55"/>
        <w:gridCol w:w="36"/>
        <w:gridCol w:w="665"/>
        <w:gridCol w:w="111"/>
        <w:gridCol w:w="26"/>
        <w:gridCol w:w="13"/>
        <w:gridCol w:w="37"/>
        <w:gridCol w:w="31"/>
        <w:gridCol w:w="943"/>
        <w:gridCol w:w="70"/>
        <w:gridCol w:w="37"/>
        <w:gridCol w:w="111"/>
        <w:gridCol w:w="865"/>
        <w:gridCol w:w="37"/>
      </w:tblGrid>
      <w:tr>
        <w:trPr>
          <w:trHeight w:val="23"/>
        </w:trPr>
        <w:tc>
          <w:tcPr>
            <w:gridSpan w:val="34"/>
            <w:shd w:val="clear" w:color="auto" w:fill="auto"/>
            <w:tcBorders>
              <w:top w:val="none" w:color="000000" w:sz="4" w:space="0"/>
              <w:left w:val="none" w:color="000000" w:sz="4" w:space="0"/>
              <w:bottom w:val="none" w:color="000000" w:sz="4" w:space="0"/>
              <w:right w:val="none" w:color="000000" w:sz="4" w:space="0"/>
            </w:tcBorders>
            <w:tcW w:w="9875" w:type="dxa"/>
            <w:vAlign w:val="center"/>
            <w:textDirection w:val="lrTb"/>
            <w:noWrap w:val="false"/>
          </w:tcPr>
          <w:p>
            <w:pPr>
              <w:jc w:val="center"/>
              <w:widowControl/>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分部分项工程和单价措施项目清单与计价表</w:t>
            </w:r>
            <w:r/>
          </w:p>
        </w:tc>
      </w:tr>
      <w:tr>
        <w:trPr>
          <w:trHeight w:val="23"/>
        </w:trPr>
        <w:tc>
          <w:tcPr>
            <w:gridSpan w:val="16"/>
            <w:shd w:val="clear" w:color="auto" w:fill="auto"/>
            <w:tcBorders>
              <w:top w:val="none" w:color="000000" w:sz="4" w:space="0"/>
              <w:left w:val="none" w:color="000000" w:sz="4" w:space="0"/>
              <w:bottom w:val="single" w:color="000000" w:sz="8" w:space="0"/>
              <w:right w:val="none" w:color="000000" w:sz="4" w:space="0"/>
            </w:tcBorders>
            <w:tcW w:w="5985"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工程名称：装饰工程</w:t>
            </w:r>
            <w:r/>
          </w:p>
        </w:tc>
        <w:tc>
          <w:tcPr>
            <w:gridSpan w:val="3"/>
            <w:shd w:val="clear" w:color="auto" w:fill="auto"/>
            <w:tcBorders>
              <w:top w:val="none" w:color="000000" w:sz="4" w:space="0"/>
              <w:left w:val="none" w:color="000000" w:sz="4" w:space="0"/>
              <w:bottom w:val="single" w:color="000000" w:sz="8" w:space="0"/>
              <w:right w:val="none" w:color="000000" w:sz="4" w:space="0"/>
            </w:tcBorders>
            <w:tcW w:w="842"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标段：</w:t>
            </w:r>
            <w:r/>
          </w:p>
        </w:tc>
        <w:tc>
          <w:tcPr>
            <w:gridSpan w:val="15"/>
            <w:shd w:val="clear" w:color="auto" w:fill="auto"/>
            <w:tcBorders>
              <w:top w:val="none" w:color="000000" w:sz="4" w:space="0"/>
              <w:left w:val="none" w:color="000000" w:sz="4" w:space="0"/>
              <w:bottom w:val="single" w:color="000000" w:sz="8" w:space="0"/>
              <w:right w:val="none" w:color="000000" w:sz="4" w:space="0"/>
            </w:tcBorders>
            <w:tcW w:w="3048" w:type="dxa"/>
            <w:vAlign w:val="center"/>
            <w:textDirection w:val="lrTb"/>
            <w:noWrap w:val="false"/>
          </w:tcPr>
          <w:p>
            <w:pPr>
              <w:jc w:val="righ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第1页 共21页</w:t>
            </w:r>
            <w:r/>
          </w:p>
        </w:tc>
      </w:tr>
      <w:tr>
        <w:trPr>
          <w:trHeight w:val="2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序号</w:t>
            </w:r>
            <w:r/>
          </w:p>
        </w:tc>
        <w:tc>
          <w:tcPr>
            <w:gridSpan w:val="5"/>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项目编码</w:t>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540"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项目名称</w:t>
            </w:r>
            <w:r/>
          </w:p>
        </w:tc>
        <w:tc>
          <w:tcPr>
            <w:gridSpan w:val="5"/>
            <w:shd w:val="clear" w:color="auto" w:fill="ffffff"/>
            <w:tcBorders>
              <w:top w:val="single" w:color="000000" w:sz="8"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项目特征描述</w:t>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674"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计量</w:t>
            </w:r>
            <w:r>
              <w:rPr>
                <w:rFonts w:hint="eastAsia" w:ascii="黑体" w:hAnsi="宋体" w:eastAsia="黑体" w:cs="黑体"/>
                <w:b/>
                <w:bCs/>
                <w:color w:val="000000" w:themeColor="text1"/>
                <w:sz w:val="18"/>
                <w:szCs w:val="18"/>
                <w:highlight w:val="none"/>
              </w:rPr>
              <w:br/>
            </w:r>
            <w:r>
              <w:rPr>
                <w:rFonts w:hint="eastAsia" w:ascii="黑体" w:hAnsi="宋体" w:eastAsia="黑体" w:cs="黑体"/>
                <w:b/>
                <w:bCs/>
                <w:color w:val="000000" w:themeColor="text1"/>
                <w:sz w:val="18"/>
                <w:szCs w:val="18"/>
                <w:highlight w:val="none"/>
              </w:rPr>
              <w:t xml:space="preserve">单位</w:t>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842"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工程量</w:t>
            </w:r>
            <w:r/>
          </w:p>
        </w:tc>
        <w:tc>
          <w:tcPr>
            <w:gridSpan w:val="15"/>
            <w:shd w:val="clear" w:color="auto" w:fill="ffffff"/>
            <w:tcBorders>
              <w:top w:val="single" w:color="000000" w:sz="8" w:space="0"/>
              <w:left w:val="single" w:color="000000" w:sz="4" w:space="0"/>
              <w:bottom w:val="single" w:color="000000" w:sz="4" w:space="0"/>
              <w:right w:val="single" w:color="000000" w:sz="8" w:space="0"/>
            </w:tcBorders>
            <w:tcW w:w="3048" w:type="dxa"/>
            <w:vAlign w:val="center"/>
            <w:textDirection w:val="lrTb"/>
            <w:noWrap/>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金额（元）</w:t>
            </w:r>
            <w:r/>
          </w:p>
        </w:tc>
      </w:tr>
      <w:tr>
        <w:trPr>
          <w:trHeight w:val="2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5"/>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5"/>
            <w:shd w:val="clear" w:color="auto" w:fill="ffffff"/>
            <w:tcBorders>
              <w:top w:val="single" w:color="000000" w:sz="8" w:space="0"/>
              <w:left w:val="single" w:color="000000" w:sz="4" w:space="0"/>
              <w:bottom w:val="single" w:color="000000" w:sz="4" w:space="0"/>
              <w:right w:val="single" w:color="000000" w:sz="4" w:space="0"/>
            </w:tcBorders>
            <w:tcW w:w="1840"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674"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842"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综合单价</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18"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合价</w:t>
            </w:r>
            <w:r/>
          </w:p>
        </w:tc>
        <w:tc>
          <w:tcPr>
            <w:gridSpan w:val="3"/>
            <w:shd w:val="clear" w:color="auto" w:fill="ffffff"/>
            <w:tcBorders>
              <w:top w:val="single" w:color="000000" w:sz="4" w:space="0"/>
              <w:left w:val="single" w:color="000000" w:sz="4" w:space="0"/>
              <w:bottom w:val="single" w:color="000000" w:sz="4" w:space="0"/>
              <w:right w:val="single" w:color="000000" w:sz="8" w:space="0"/>
            </w:tcBorders>
            <w:tcW w:w="1013" w:type="dxa"/>
            <w:vAlign w:val="center"/>
            <w:textDirection w:val="lrTb"/>
            <w:noWrap/>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其中</w:t>
            </w:r>
            <w:r/>
          </w:p>
        </w:tc>
      </w:tr>
      <w:tr>
        <w:trPr>
          <w:trHeight w:val="2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5"/>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5"/>
            <w:shd w:val="clear" w:color="auto" w:fill="ffffff"/>
            <w:tcBorders>
              <w:top w:val="single" w:color="000000" w:sz="8" w:space="0"/>
              <w:left w:val="single" w:color="000000" w:sz="4" w:space="0"/>
              <w:bottom w:val="single" w:color="000000" w:sz="4" w:space="0"/>
              <w:right w:val="single" w:color="000000" w:sz="4" w:space="0"/>
            </w:tcBorders>
            <w:tcW w:w="1840"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674"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842"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18"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3"/>
            <w:shd w:val="clear" w:color="auto" w:fill="ffffff"/>
            <w:tcBorders>
              <w:top w:val="single" w:color="000000" w:sz="4" w:space="0"/>
              <w:left w:val="single" w:color="000000" w:sz="4" w:space="0"/>
              <w:bottom w:val="single" w:color="000000" w:sz="4" w:space="0"/>
              <w:right w:val="single" w:color="000000" w:sz="8" w:space="0"/>
            </w:tcBorders>
            <w:tcW w:w="1013" w:type="dxa"/>
            <w:vAlign w:val="center"/>
            <w:textDirection w:val="lrTb"/>
            <w:noWrap/>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暂估价</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一至三层拆除工程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011601001001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拆除</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拆除内容：墙体及原装饰层、墙地砖及石材、窗体、玻璃门及门套、墙面装饰层、原有隔断板、背景墙、门窗套、部分墙裙、窗帘、卫生洁具、地台、内墙反碱脱落层、外墙真石漆脱落层、空调机、空调室外机罩、露台防水层、木门及套线条、新砌筑墙体根部切槽、室外台阶及护栏等所有为满足本次装修需要拆除的部位，结算时不另外增加费用</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2、拆除后建筑垃圾清理外运，投标人综合考虑场内、场外二次运输及建筑垃圾的处置费用，垃圾处理方式符合当地市政环卫要求，垃圾运距由投标人勘查现场后自行考虑</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3、报价说明:该项由投标人勘查现场后综合报价，结算时不调整。投标人依据设计施工图及建筑现状自行考虑拆除方案</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4、需做好现场成品保护及卫生环境保护</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5、拆除后残值由</w:t>
            </w:r>
            <w:r>
              <w:rPr>
                <w:rFonts w:hint="eastAsia" w:ascii="宋体" w:hAnsi="宋体" w:cs="宋体"/>
                <w:color w:val="000000" w:themeColor="text1"/>
                <w:sz w:val="18"/>
                <w:szCs w:val="18"/>
                <w:highlight w:val="none"/>
                <w:lang w:eastAsia="zh-CN"/>
              </w:rPr>
              <w:t xml:space="preserve">成交供应商</w:t>
            </w:r>
            <w:r>
              <w:rPr>
                <w:rFonts w:hint="eastAsia" w:ascii="宋体" w:hAnsi="宋体" w:cs="宋体"/>
                <w:color w:val="000000" w:themeColor="text1"/>
                <w:sz w:val="18"/>
                <w:szCs w:val="18"/>
                <w:highlight w:val="none"/>
              </w:rPr>
              <w:t xml:space="preserve">自行处置，残值报价综合考虑</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6、投标人在报价是自行考虑拆除物的松散系数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619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011601001002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拆除                                  1、原绿化池，结算时不另外增加费用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2、拆除后建筑垃圾清理外运，投标人综合考虑场内、场外二次运输及建筑垃圾的处置费用，垃圾处理方式符合当地市政环卫要求，垃圾运距由投标人勘查现场后自行考虑</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3、报价说明:该项由投标人勘查现场后综合报价，结算时不调整。投标人依据设计施工图及建筑现状自行考虑拆除方案</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4、需做好现场成品保护及卫生环境保护</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5、拆除后残值由</w:t>
            </w:r>
            <w:r>
              <w:rPr>
                <w:rFonts w:hint="eastAsia" w:ascii="宋体" w:hAnsi="宋体" w:cs="宋体"/>
                <w:color w:val="000000" w:themeColor="text1"/>
                <w:sz w:val="18"/>
                <w:szCs w:val="18"/>
                <w:highlight w:val="none"/>
                <w:lang w:eastAsia="zh-CN"/>
              </w:rPr>
              <w:t xml:space="preserve">成交供应商</w:t>
            </w:r>
            <w:r>
              <w:rPr>
                <w:rFonts w:hint="eastAsia" w:ascii="宋体" w:hAnsi="宋体" w:cs="宋体"/>
                <w:color w:val="000000" w:themeColor="text1"/>
                <w:sz w:val="18"/>
                <w:szCs w:val="18"/>
                <w:highlight w:val="none"/>
              </w:rPr>
              <w:t xml:space="preserve">自行处置，残值报价综合考虑</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6、投标人在报价是自行考虑拆除物的松散系数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011601001003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场地硬化                              1、部位：绿化池部位</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2、绿化池部位混凝土场地硬化、路面及路牙恢复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3、投标人在报价是自行考虑拆除物的松散系数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010402001001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砌块墙</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1、砌块品种、规格、强度等级:蒸压加气混凝土砌块</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2、砂浆强度等级:混合M5.0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12.95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010401012001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零星砌砖</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1、零星砌砖名称、部位:砖砌地台</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2、砖品种、规格、强度等级:标准砖</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3、砂浆强度等级、配合比:混合M5.0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0.27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010502002001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构造柱</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1、混凝土种类：商品砼</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2、混凝土强度等级：C25</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3、含模板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010503004001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圈梁</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1、混凝土种类:商品砼</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2、混凝土强度等级:C25</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3、含模板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0.77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50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010516003001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植筋</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1、材料种类：钢筋</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2、材料规格：综合</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3、植入深度：规范要求</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4、植筋胶品种：环氧型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210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010515001001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现浇构件钢筋</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1、钢筋种类、规格:综合12以内</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010515001002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现浇构件钢筋</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1、砌体、板缝内加固钢筋：砌体加固筋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011201001001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墙面一般抹灰</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1、底层厚度、砂浆配合比:12mm1:3水泥砂浆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2、面层厚度、砂浆配合比:8mm 1:2.5水泥砂浆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455.65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010607005001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砌块墙钢丝网加固</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1、材料品种、规格:玻纤网格布一层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455.65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011102003001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楼梯间地面及栏杆</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1、原楼梯间地面及栏杆修补</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2、满足建设单位要求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011102003002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水磨石地面</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1、原水磨石地面破损处进行修补</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2、满足建设单位使用要求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011102003003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楼地面清洗</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1、地面打磨、清洗出新</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2、满足建设单位使用要求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363.77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986"/>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011102001001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石材楼地面</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1、结合层厚度、砂浆配合比:30mm干硬性水泥砂浆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2、面层材料品种、规格、颜色:18mm厚黑白根石材</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3、具体做法详见图纸</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3.35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50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011102003004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块料楼地面</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1、结合层厚度、砂浆配合比:30mm干硬性水泥砂浆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2、面层材料品种、规格、颜色:防滑地砖400*400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3.35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010904002001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楼（地）面涂膜防水</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1、防水膜品种：聚氨酯防水涂料</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2、涂膜厚度、遍数：2mm厚</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3.35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75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011103004001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塑料卷材楼地面</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1、基层清理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2、粘结层厚度、材料种类:专用地板胶</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3、面层材料品种、规格、颜色:3.0mm厚进口耐磨型PVC阻燃地板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68.35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44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011210006001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轻钢龙骨隔墙</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1、骨架、边框材料种类、规格:75系列轻钢龙骨</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2、基层材料种类、规格:双面单层12mm厚阻燃板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3、隔板材料品种、规格、颜色:双面单层9.5mm纸面石膏板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4、内填防火吸音棉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190.82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457"/>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011105003001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块料踢脚线</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1、结合层厚度、砂浆配合比:1:2水泥砂浆及素水泥砂浆（厚度由投标人勘察现场自行考虑，结算不调整）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2、面层材料品种、规格、颜色:800*800mm防滑地砖</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21.22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011204003001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块料墙面</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1、面层材料品种、规格、颜色:400*800mm墙砖</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2、缝宽、嵌缝材料种类:美缝处理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45.36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010904002002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墙面涂膜防水</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1、防水膜品种：聚氨酯防暑涂料</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2、涂膜厚度、遍数：2mm厚</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16.41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011207001001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墙面装饰板</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1、基层材料种类、规格:12mm厚阻燃板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2、面层材料品种、规格、颜色:10mm厚超白烤漆玻璃饰面</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3、压条材料种类、规格:18mm宽黑钛金不锈钢线条收边及内侧面黑钛金不锈钢板饰面，侧面不锈钢板内嵌15mm宽线性灯造型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23.16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736"/>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011207001002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墙面装饰板</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1、基层材料种类、规格:12mm厚阻燃板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2、面层材料品种、规格、颜色:10mm厚浅灰色绒面吸音板饰面、接处倒V字造型缝拼贴处理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133.45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986"/>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包柱</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1、L50*5镀锌角钢</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2、12mm阻燃板基层</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3、9.5mm纸面石膏板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4、刮涂腻子一遍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5、内墙乳胶漆二遍（颜色等满足甲方要求）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21.98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986"/>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011210003001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玻璃隔断</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1、边框材料种类、规格:推拉式活动隔断</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2、玻璃品种、规格、颜色:10mm钢化玻璃，不锈钢边等辅件</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3、部位：玻璃移门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7.26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011505010001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镜面</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1、5厘防爆银镜，10mm宽不锈钢包边</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2、具体做法详见节点图</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3.05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69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011505001001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洗漱台</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1、材料品种、规格、颜色：15mm白色人造石台面，定制柜体及PET柜门</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2、台面规格：长度1.5m，高度0.7m，深度0.6m</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3、含五金等一切辅件</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4、具体做法详见图纸</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44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011505001002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洗漱台</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1、材料品种、规格、颜色：40mm皮革软包饰面</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2、台面规格：长度1.25m，高度0.65m，深度0.6m</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3、含五金等一切辅件</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4、具体做法详见图纸</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97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011407001001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墙面喷刷涂料</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1、基层处理:墙面清理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2、胶浆修补液修补至原粉刷面齐平</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3、刮涂腻子一遍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2、内墙乳胶漆二遍（颜色等满足甲方要求）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510.95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011407001002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真石漆</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1、铲除现状找平层后用15厚水泥防水砂浆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2、腻子找平一道</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3、面层真石漆（颜色详见图纸）</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4、部位：北立面室外公共走廊及东立面局部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285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69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010805001001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电子感应门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1、门框、扇材质:镀锌钢管骨架</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2、门套材质:1.0mm黑钛金不锈钢门套</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3、玻璃品种、厚度:12mm厚超白钢化玻璃</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4、投标报价考虑电机、感应器、地弹簧、五金件等所有费用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18.85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010801002001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木质门带套</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1、成品木质门（含门套）</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2、投标报价考虑五金件等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15.72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339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010802004001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双开钢质防盗门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1、门框、扇材质:镀锌方管焊制移门骨架、焊接处防锈防腐处理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2、12mm厚透明钢化玻璃</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3、45mm宽抗指纹镜面不锈钢线条及门套板（门套展开宽度为330mm)</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4、投标报价考虑电机、控制器、吊轨、五金件等所有费用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4.17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97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010805005001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金属边框玻璃门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1、框材质:门框外侧内置铝合金压条收边、门框内置暗拉手造型、门头预留150mm高透气口</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2、玻璃品种、厚度:10mm厚单向防爆透视玻璃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7.04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69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010805001002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电子感应门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1、门框、扇材质:镀锌钢管骨架</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2、门套材质:1.0mm不锈钢拉丝板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3、玻璃品种、厚度:12mm厚透明钢化玻璃</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4、投标报价考虑电机、控制器、吊轨、地弹簧、五金件等所有费用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15.43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011407002001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天棚喷刷涂料</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1、基层涂料找补、打磨</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2、白色乳胶漆两遍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337.41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011407002002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天棚喷刷涂料</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1、原顶灰色乳胶漆两遍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53.06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362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011302001001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吊顶天棚</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1、吊顶形式、吊杆规格、高度:φ8镀锌全丝牙吊杆，双向吊点（中距900mm）</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2、龙骨材料种类、规格、中距:60系列轻钢主龙骨、主龙骨中距900mm，配套铝合金次龙骨中距300*300mm</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3、面层材料品种、规格:300*600*0.8mm集成铝板吊顶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6.53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4076"/>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011302001002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吊顶天棚(简单型）</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1、天棚吊筋 吊筋规格 Φ8（高度综合考虑）</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2、装配式U型(上人型)轻钢龙骨</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3、单层纸面石膏板天棚面层 安装在U型轻钢龙骨上</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4、板面钉眼封点防锈漆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5、清油封底</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6、天棚墙面板缝贴自粘胶带</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7、石膏板面 901胶混合腻子批三遍、刷白色无机涂料三遍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11.31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409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011302001003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吊顶天棚(复杂型）</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1、天棚吊筋 吊筋规格 Φ8（高度综合考虑）</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2、装配式U型(上人型)轻钢龙骨</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3、单层纸面石膏板天棚面层 安装在U型轻钢龙骨上</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4、板面钉眼封点防锈漆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5、清油封底</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6、天棚墙面板缝贴自粘胶带</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7、石膏板面 901胶混合腻子批三遍、刷白色无机涂料三遍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64.02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339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011302001004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吊顶天棚</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1、吊顶形式、吊杆规格、高度:φ8镀锌全丝牙吊杆，双向吊点（中距900mm）</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2、龙骨材料种类、规格、中距:60系列轻钢主龙骨、主龙骨中距900mm，配套铝合金次龙骨（上人型）</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3、面层材料品种、规格:50*100*2mm白色铝方通吊顶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53.06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384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010810002001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木窗帘盒</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1、窗帘盒材质、规格:30*40木龙骨骨架、12mm厚木工板基层、9.5mm厚双层纸面石膏板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2、防护材料种类:木龙骨刷防火涂料3遍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3、嵌缝材料种类：板面钉眼封点防锈漆，自粘胶带</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4、腻子种类、遍数：满批腻子三遍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5、油漆品种、刷漆遍数：白色乳胶漆三遍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385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011304001001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灯带</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1、基层材料种类、规格：12mm木工板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2、防护材料种类:木龙骨刷防火涂料3遍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3、面层材料种类、规格：9.5mm厚纸面石膏板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4、嵌缝材料种类：板面钉眼封点防锈漆，自粘胶带</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5、腻子种类、遍数：满批腻子三遍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6、油漆品种、刷漆遍数：无机涂料三遍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29.52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011304002001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开筒灯孔</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1、开筒灯孔，尺寸50-200mm</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011304002002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送风口、回风口</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1、风口材料品种、规格:成品检修孔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011405001001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金属面油漆</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1、原有桥架刷油漆整体出新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011501004001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便民柜</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1、部位：办证大厅</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2、规格:深度0.45m</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3、含五金等一切附件</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4、按照垂直投影面积计入</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5.78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011501020001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单层受理吧台</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1、材料种类、规格:基层30*30镀锌方管，木工板基层</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2、面层：15mm白色雅士白人造石台面+5mm钛金板+40mm黑钛不锈钢踢脚</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3、具体做法详见图纸</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7.05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97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011501011001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软包坐凳</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1、规格:960*400*420mm</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2、材料种类、规格:15mm厚阻燃板基层、外包40mm厚皮革软包饰面</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3、满足建设单位使用要求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1.92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75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010810001001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窗帘</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1、窗帘材质:成品布艺窗帘，配无噪轨道及配件</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2、根据展开面积考虑投标报价</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3、窗帘颜色须经建设单位确认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48.97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010810001002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窗帘</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1、窗帘材质:PVC卷帘</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2、根据展开面积考虑投标报价</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3、窗帘颜色须经建设单位确认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6.44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010810001003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窗贴膜</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1、建筑窗玻璃清理后贴玻璃防窥膜</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2、颜色须经建设单位确认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32.37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6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011507001001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平面、箱式招牌</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1、基层30*50镀锌方管焊制框架，25*25㎜镀锌方管焊制副龙骨</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2、5㎜厚警察蓝铝塑板干挂饰面</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3、定制亚克力主题字（背板均为警察蓝色铝塑板饰面，内容由</w:t>
            </w:r>
            <w:r>
              <w:rPr>
                <w:rFonts w:hint="eastAsia" w:ascii="宋体" w:hAnsi="宋体" w:cs="宋体"/>
                <w:color w:val="000000" w:themeColor="text1"/>
                <w:sz w:val="18"/>
                <w:szCs w:val="18"/>
                <w:highlight w:val="none"/>
                <w:lang w:eastAsia="zh-CN"/>
              </w:rPr>
              <w:t xml:space="preserve">采购人</w:t>
            </w:r>
            <w:r>
              <w:rPr>
                <w:rFonts w:hint="eastAsia" w:ascii="宋体" w:hAnsi="宋体" w:cs="宋体"/>
                <w:color w:val="000000" w:themeColor="text1"/>
                <w:sz w:val="18"/>
                <w:szCs w:val="18"/>
                <w:highlight w:val="none"/>
              </w:rPr>
              <w:t xml:space="preserve">提供确认）</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4、按照垂直投影面积计算</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5、具体做法满足建设单位要求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15.83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011102003005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楼梯间地面及栏杆</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1、原楼梯间地面及栏杆修补</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2、满足建设单位要求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011102003006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水磨石地面</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1、原水磨石地面破损处进行修补</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2、满足建设单位使用要求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011102003007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楼地面清洗</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1、地面打磨、清洗出新</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2、满足建设单位使用要求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514.47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986"/>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011102001002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石材楼地面</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1、结合层厚度、砂浆配合比:30mm干硬性水泥砂浆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2、面层材料品种、规格、颜色:18mm厚黑白根石材</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3、具体做法详见图纸</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0.56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010904002003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楼（地）面涂膜防水</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1、防水膜品种：聚氨酯防水涂料</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2、涂膜厚度、遍数：2mm厚</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27.85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457"/>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011210006002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轻钢龙骨隔墙</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1、骨架、边框材料种类、规格:75系列轻钢龙骨</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2、基层材料种类、规格:双面单层12mm厚阻燃板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3、隔板材料品种、规格、颜色:双面单层9.5mm纸面石膏板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4、内填防火吸音棉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114.38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677"/>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011105003002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块料踢脚线</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1、结合层厚度、砂浆配合比:1:2水泥砂浆及素水泥砂浆（厚度由投标人勘察现场自行考虑，结算不调整）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2、面层材料品种、规格、颜色:800*800mm防滑地砖</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21.03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010904002004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墙面涂膜防水</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1、防水膜品种：聚氨酯防暑涂料</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2、涂膜厚度、遍数：2mm厚</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34.2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011204003002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块料墙面</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1、面层材料品种、规格、颜色:400*800mm墙砖</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2、缝宽、嵌缝材料种类:美缝处理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81.52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97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011407001003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墙面喷刷涂料</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1、基层处理:墙面清理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2、胶浆修补液修补至原粉刷面齐平</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3、刮涂腻子一遍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2、内墙乳胶漆二遍（颜色等满足甲方要求）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705.1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011210003002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玻璃隔断</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1、边框材料种类、规格:铝合金边框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2、玻璃品种、规格、颜色:玻璃内置百叶帘</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6.38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457"/>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011207001003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墙面装饰板</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1、基层材料种类、规格:12mm厚阻燃板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2、面层材料品种、规格、颜色:5mm厚白色碳晶板饰面</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3、压条材料种类、规格:内嵌6mm黑色“T”型线条</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4、具体做法详见图纸要求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68.52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011207001004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墙面装饰板</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1、基层材料种类、规格:12mm厚阻燃板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2、面层材料品种、规格、颜色:10mm宽黑钛边框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14.8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011207001005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墙面装饰板</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1、基层材料种类、规格:12mm厚阻燃板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2、面层材料品种、规格、颜色:内嵌线性灯、10*10黑色专用收口条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14.84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986"/>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包柱</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1、L50*5镀锌角钢</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2、12mm阻燃板基层</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3、9.5mm纸面石膏板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4、刮涂腻子一遍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5、内墙乳胶漆二遍（颜色等满足甲方要求）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20.3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011210005001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成品隔断</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1、卫生间成品隔断</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2、隔断材料品种、规格、颜色:18mm厚木纹色抗倍特板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31.71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44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011505001003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洗漱台</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1、材料品种、规格、颜色：12mm深色岩板台面，定制柜体及PET柜门</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2、台面规格：详见图纸</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3、含五金等一切辅件</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4、具体做法详见图纸</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011505010002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镜面</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1、5厘防爆银镜，10mm宽黑色不锈钢包边</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2、具体做法详见节点图</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2.07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010801002002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木质门带套</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1、成品木质门（含门套）</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2、投标报价考虑五金件等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2.43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986"/>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010805005002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金属边框玻璃门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1、框材质:门框外侧内置铝合金压条收边、门框内置暗拉手造型、门头预留150mm高透气口</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2、玻璃品种、厚度:10mm厚单向防爆透视玻璃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2.21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010808004001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金属门窗套</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1、基层材料种类:12mm木工板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2、面层材料品种、规格:1.0mm不锈钢板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36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011407002003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天棚喷刷涂料</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1、基层涂料找补、打磨</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2、白色乳胶漆两遍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379.63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362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011302001005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吊顶天棚</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1、吊顶形式、吊杆规格、高度:φ8镀锌全丝牙吊杆，双向吊点（中距900mm）</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2、龙骨材料种类、规格、中距:60系列轻钢主龙骨、主龙骨中距900mm，配套铝合金次龙骨中距300*300mm</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3、面层材料品种、规格:300*600*0.8mm集成铝板吊顶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27.37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4076"/>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011302001006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吊顶天棚(复杂型）</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1、天棚吊筋 吊筋规格 Φ8（高度综合考虑）</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2、装配式U型(上人型)轻钢龙骨</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3、单层纸面石膏板天棚面层 安装在U型轻钢龙骨上</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4、板面钉眼封点防锈漆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5、清油封底</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6、天棚墙面板缝贴自粘胶带</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7、石膏板面 901胶混合腻子批三遍、刷白色无机涂料三遍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64.04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586"/>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011302001007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吊顶天棚(复杂型）</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1、天棚吊筋 吊筋规格 Φ8（高度综合考虑）</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2、装配式U型(上人型)轻钢龙骨</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3、单层防水纸面石膏板天棚面层 安装在U型轻钢龙骨上</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4、板面钉眼封点防锈漆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5、清油封底</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6、天棚墙面板缝贴自粘胶带</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7、石膏板面 901胶混合腻子批三遍、刷白色无机涂料三遍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52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011302001008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吊顶天棚(复杂型）</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1、天棚吊筋 吊筋规格 Φ8（高度综合考虑）</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2、装配式U型(上人型)轻钢龙骨</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3、单层纸面石膏板天棚面层 安装在U型轻钢龙骨上+内嵌黑色不锈钢装饰板+黑色金属装饰条+定制发光软膜</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4、板面钉眼封点防锈漆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5、清油封底</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6、天棚墙面板缝贴自粘胶带</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7、石膏板面 901胶混合腻子批三遍、刷白色无机涂料三遍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8、具体做法详见图纸</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65.25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385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010810002002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木窗帘盒</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1、窗帘盒材质、规格:30*40木龙骨骨架、12mm厚木工板基层、9.5mm厚双层纸面石膏板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2、防护材料种类:木龙骨刷防火涂料3遍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3、嵌缝材料种类：板面钉眼封点防锈漆，自粘胶带</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4、腻子种类、遍数：满批腻子三遍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5、油漆品种、刷漆遍数：白色乳胶漆三遍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40.5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384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011304001002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灯带</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1、基层材料种类、规格：12mm木工板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2、防护材料种类:木龙骨刷防火涂料3遍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3、面层材料种类、规格：9.5mm厚纸面石膏板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4、嵌缝材料种类：板面钉眼封点防锈漆，自粘胶带</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5、腻子种类、遍数：满批腻子三遍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6、油漆品种、刷漆遍数：无机涂料三遍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bookmarkStart w:id="243" w:name="_GoBack"/>
            <w:r/>
            <w:bookmarkEnd w:id="243"/>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011304002003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开筒灯孔</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1、开筒灯孔，尺寸50-200mm</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011304002004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送风口、回风口</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1、风口材料品种、规格:成品检修孔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011405001002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金属面油漆</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1、原有桥架刷油漆整体出新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75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010810001004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窗帘</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1、窗帘材质:成品布艺窗帘，配无噪轨道及配件</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2、根据展开面积考虑投标报价</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3、窗帘颜色须经建设单位确认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158.81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010810001005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窗帘</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1、窗帘材质:PVC卷帘</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2、根据展开面积考虑投标报价</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3、窗帘颜色须经建设单位确认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6.44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010810001006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窗贴膜</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1、建筑窗玻璃清理后贴玻璃防窥膜</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2、颜色须经建设单位确认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011102003008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楼梯间地面及栏杆</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1、原楼梯间地面及栏杆修补</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2、满足建设单位要求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011102003009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水磨石地面</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1、原水磨石地面破损处进行修补</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2、满足建设单位使用要求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011102003010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楼地面清洗</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1、地面打磨、清洗出新</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2、满足建设单位使用要求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451.46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97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011102001003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石材楼地面</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1、结合层厚度、砂浆配合比:30mm干硬性水泥砂浆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2、面层材料品种、规格、颜色:18mm厚黑白根石材</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3、具体做法详见图纸</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3.44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010904002005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楼（地）面涂膜防水</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1、防水膜品种：聚氨酯防水涂料</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2、涂膜厚度、遍数：2mm厚</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68.69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50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011102003011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块料楼地面</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1、结合层厚度、砂浆配合比:30mm干硬性水泥砂浆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2、面层材料品种、规格、颜色:防滑地砖400*800、美缝</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68.69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011502003001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石材装饰线</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1、线条材料品种、规格、颜色:60*80mmU型石材止水带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8.24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44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011210006003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轻钢龙骨隔墙</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1、骨架、边框材料种类、规格:75系列轻钢龙骨</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2、基层材料种类、规格:双面单层12mm厚阻燃板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3、隔板材料品种、规格、颜色:双面单层9.5mm纸面石膏板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4、内填防火吸音棉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245.23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347"/>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011105003003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块料踢脚线</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1、结合层厚度、砂浆配合比:1:2水泥砂浆及素水泥砂浆（厚度由投标人勘察现场自行考虑，结算不调整）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2、面层材料品种、规格、颜色:800*800mm防滑地砖</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22.97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010904002006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墙面涂膜防水</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1、防水膜品种：聚氨酯防暑涂料</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2、涂膜厚度、遍数：2mm厚</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136.55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011204003003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块料墙面</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1、面层材料品种、规格、颜色:400*800mm墙砖</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2、缝宽、嵌缝材料种类:美缝处理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158.87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986"/>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011501001003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包柱</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1、L50*5镀锌角钢</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2、12mm阻燃板基层</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3、9.5mm纸面石膏板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4、刮涂腻子一遍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5、内墙乳胶漆二遍（颜色等满足甲方要求）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19.82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97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011407001004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墙面喷刷涂料</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1、基层处理:墙面清理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2、胶浆修补液修补至原粉刷面齐平</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3、刮涂腻子一遍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2、内墙乳胶漆二遍（颜色等满足甲方要求）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826.59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011210003003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铝合金玻璃隔断</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1、边框材料种类、规格:铝合金边框及不锈钢套</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2、玻璃品种、规格、颜色:10mm厚钢化玻璃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10.35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75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011210003004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玻璃隔断</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1、边框材料种类、规格:成品淋浴隔断</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2、玻璃品种、规格、颜色:10mm钢化玻璃，不锈钢边等辅件</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3、部位：玻璃移门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18.13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011210005002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成品隔断</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1、卫生间成品隔断</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2、隔断材料品种、规格、颜色:18mm厚木纹色抗倍特板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25.98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92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011505001004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洗漱台</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1、材料品种、规格、颜色：12mm深色岩板台面，定制柜体及PET柜门</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2、台面规格：详见图纸</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3、含五金等一切辅件</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4、具体做法详见图纸</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5、部位：餐厅、洗漱区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6.42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011505010003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镜面</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1、5厘防爆银镜，10mm宽黑色不锈钢包边</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2、具体做法详见节点图</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010809004001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石材窗台板</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1、窗台板材质、规格、颜色:20mm灰色石英石台面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010801002003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木质门带套</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1、成品木质门（含门套）</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2、投标报价考虑五金件等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2.34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97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010808005001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石材门窗套</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1、门窗套展开宽度:45mm+120mm+45mm</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2、面层材料品种、规格:15mm厚人造石门套</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3、部位：洗漱区</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4、做法详见图纸</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011407002004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天棚喷刷涂料</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1、基层涂料找补、打磨</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2、白色乳胶漆两遍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432.48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362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011302001009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吊顶天棚</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1、吊顶形式、吊杆规格、高度:φ8镀锌全丝牙吊杆，双向吊点（中距900mm）</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2、龙骨材料种类、规格、中距:60系列轻钢主龙骨、主龙骨中距900mm，配套铝合金次龙骨中距300*300mm</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3、面层材料品种、规格:300*600*0.8mm集成铝板吊顶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86.04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431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011302001010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吊顶天棚(复杂型）</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1、天棚吊筋 吊筋规格 Φ8（高度综合考虑）</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2、装配式U型(上人型)轻钢龙骨</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3、单层纸面石膏板天棚面层 安装在U型轻钢龙骨上</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4、板面钉眼封点防锈漆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5、清油封底</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6、天棚墙面板缝贴自粘胶带</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7、石膏板面 901胶混合腻子批三遍、刷白色无机涂料三遍，内测嵌15mm宽线性灯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69.87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366"/>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010810002003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木窗帘盒</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1、窗帘盒材质、规格:30*40木龙骨骨架、12mm厚木工板基层、9.5mm厚双层纸面石膏板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2、防护材料种类:木龙骨刷防火涂料3遍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3、嵌缝材料种类：板面钉眼封点防锈漆，自粘胶带</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4、腻子种类、遍数：满批腻子三遍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5、油漆品种、刷漆遍数：白色乳胶漆三遍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011304002005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开筒灯孔</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1、开筒灯孔，尺寸50-200mm</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011304002006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送风口、回风口</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1、风口材料品种、规格:成品检修孔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011405001003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金属面油漆</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1、原有桥架刷油漆整体出新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50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011501004002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衣柜</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1、部位：备勤室</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2、规格:深度0.6m</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3、含五金等一切附件</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4、按照垂直投影面积计入</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011501004003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矮柜</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1、部位：备勤室</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2、规格:深度0.6m</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3、含五金等一切附件</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4、按照垂直投影面积计入</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9.18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011501003001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成品不锈钢柜体</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1、部位：洗漱区</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2、规格:深度0.6m</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3、含五金等一切附件</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4、按照垂直投影面积计入</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5.26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011501009001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厨房地柜</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1、满足建设单位使用要求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9.14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011501010001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厨房吊柜</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1、满足建设单位使用要求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011505001005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洗衣池</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1、满足建设单位使用要求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736"/>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010810001007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窗帘</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1、窗帘材质:成品布艺窗帘，配无噪轨道及配件</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2、根据展开面积考虑投标报价</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3、窗帘颜色须经建设单位确认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010810001008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窗帘</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1、窗帘材质:PVC卷帘</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2、根据展开面积考虑投标报价</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3、窗帘颜色须经建设单位确认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61.56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分部分项工程清单合计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011701006001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脚手架</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011703001001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垂直运输</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单价措施项目清单合计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456"/>
        </w:trPr>
        <w:tc>
          <w:tcPr>
            <w:gridSpan w:val="25"/>
            <w:shd w:val="clear" w:color="auto" w:fill="auto"/>
            <w:tcBorders>
              <w:top w:val="single" w:color="000000" w:sz="4" w:space="0"/>
              <w:left w:val="single" w:color="000000" w:sz="8" w:space="0"/>
              <w:bottom w:val="single" w:color="000000" w:sz="8" w:space="0"/>
              <w:right w:val="single" w:color="000000" w:sz="4" w:space="0"/>
            </w:tcBorders>
            <w:tcW w:w="773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合    计</w:t>
            </w:r>
            <w:r/>
          </w:p>
        </w:tc>
        <w:tc>
          <w:tcPr>
            <w:gridSpan w:val="6"/>
            <w:shd w:val="clear" w:color="auto" w:fill="auto"/>
            <w:tcBorders>
              <w:top w:val="single" w:color="000000" w:sz="4" w:space="0"/>
              <w:left w:val="single" w:color="000000" w:sz="4" w:space="0"/>
              <w:bottom w:val="single" w:color="000000" w:sz="8" w:space="0"/>
              <w:right w:val="single" w:color="000000" w:sz="4" w:space="0"/>
            </w:tcBorders>
            <w:tcW w:w="113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691"/>
        </w:trPr>
        <w:tc>
          <w:tcPr>
            <w:gridSpan w:val="33"/>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val="false"/>
          </w:tcPr>
          <w:p>
            <w:pPr>
              <w:jc w:val="center"/>
              <w:widowControl/>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总价措施项目清单与计价表</w:t>
            </w:r>
            <w:r/>
          </w:p>
        </w:tc>
      </w:tr>
      <w:tr>
        <w:trPr>
          <w:gridAfter w:val="1"/>
          <w:trHeight w:val="353"/>
        </w:trPr>
        <w:tc>
          <w:tcPr>
            <w:gridSpan w:val="14"/>
            <w:shd w:val="clear" w:color="auto" w:fill="auto"/>
            <w:tcBorders>
              <w:top w:val="none" w:color="000000" w:sz="4" w:space="0"/>
              <w:left w:val="none" w:color="000000" w:sz="4" w:space="0"/>
              <w:bottom w:val="single" w:color="000000" w:sz="8" w:space="0"/>
              <w:right w:val="none" w:color="000000" w:sz="4" w:space="0"/>
            </w:tcBorders>
            <w:tcW w:w="5731"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工程名称：装饰工程</w:t>
            </w:r>
            <w:r/>
          </w:p>
        </w:tc>
        <w:tc>
          <w:tcPr>
            <w:gridSpan w:val="7"/>
            <w:shd w:val="clear" w:color="auto" w:fill="auto"/>
            <w:tcBorders>
              <w:top w:val="none" w:color="000000" w:sz="4" w:space="0"/>
              <w:left w:val="none" w:color="000000" w:sz="4" w:space="0"/>
              <w:bottom w:val="single" w:color="000000" w:sz="8" w:space="0"/>
              <w:right w:val="none" w:color="000000" w:sz="4" w:space="0"/>
            </w:tcBorders>
            <w:tcW w:w="1162"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标段：</w:t>
            </w:r>
            <w:r/>
          </w:p>
        </w:tc>
        <w:tc>
          <w:tcPr>
            <w:gridSpan w:val="12"/>
            <w:shd w:val="clear" w:color="auto" w:fill="auto"/>
            <w:tcBorders>
              <w:top w:val="none" w:color="000000" w:sz="4" w:space="0"/>
              <w:left w:val="none" w:color="000000" w:sz="4" w:space="0"/>
              <w:bottom w:val="single" w:color="000000" w:sz="8" w:space="0"/>
              <w:right w:val="none" w:color="000000" w:sz="4" w:space="0"/>
            </w:tcBorders>
            <w:tcW w:w="2945" w:type="dxa"/>
            <w:vAlign w:val="center"/>
            <w:textDirection w:val="lrTb"/>
            <w:noWrap w:val="false"/>
          </w:tcPr>
          <w:p>
            <w:pPr>
              <w:jc w:val="righ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第1页 共2页</w:t>
            </w:r>
            <w:r/>
          </w:p>
        </w:tc>
      </w:tr>
      <w:tr>
        <w:trPr>
          <w:gridAfter w:val="1"/>
          <w:trHeight w:val="809"/>
        </w:trPr>
        <w:tc>
          <w:tcPr>
            <w:gridSpan w:val="2"/>
            <w:shd w:val="clear" w:color="auto" w:fill="ffffff"/>
            <w:tcBorders>
              <w:top w:val="single" w:color="000000" w:sz="8"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序号</w:t>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1324"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项目编码</w:t>
            </w:r>
            <w:r/>
          </w:p>
        </w:tc>
        <w:tc>
          <w:tcPr>
            <w:gridSpan w:val="4"/>
            <w:shd w:val="clear" w:color="auto" w:fill="ffffff"/>
            <w:tcBorders>
              <w:top w:val="single" w:color="000000" w:sz="8"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项目名称</w:t>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161"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计算基础</w:t>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费率（%）</w:t>
            </w:r>
            <w:r/>
          </w:p>
        </w:tc>
        <w:tc>
          <w:tcPr>
            <w:gridSpan w:val="7"/>
            <w:shd w:val="clear" w:color="auto" w:fill="ffffff"/>
            <w:tcBorders>
              <w:top w:val="single" w:color="000000" w:sz="8"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金额（元）</w:t>
            </w:r>
            <w:r/>
          </w:p>
        </w:tc>
        <w:tc>
          <w:tcPr>
            <w:gridSpan w:val="7"/>
            <w:shd w:val="clear" w:color="auto" w:fill="ffffff"/>
            <w:tcBorders>
              <w:top w:val="single" w:color="000000" w:sz="8" w:space="0"/>
              <w:left w:val="single" w:color="000000" w:sz="4" w:space="0"/>
              <w:bottom w:val="single" w:color="000000" w:sz="4" w:space="0"/>
              <w:right w:val="single" w:color="000000" w:sz="4" w:space="0"/>
            </w:tcBorders>
            <w:tcW w:w="919"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调整</w:t>
            </w:r>
            <w:r>
              <w:rPr>
                <w:rFonts w:hint="eastAsia" w:ascii="黑体" w:hAnsi="宋体" w:eastAsia="黑体" w:cs="黑体"/>
                <w:b/>
                <w:bCs/>
                <w:color w:val="000000" w:themeColor="text1"/>
                <w:sz w:val="18"/>
                <w:szCs w:val="18"/>
                <w:highlight w:val="none"/>
              </w:rPr>
              <w:br/>
            </w:r>
            <w:r>
              <w:rPr>
                <w:rFonts w:hint="eastAsia" w:ascii="黑体" w:hAnsi="宋体" w:eastAsia="黑体" w:cs="黑体"/>
                <w:b/>
                <w:bCs/>
                <w:color w:val="000000" w:themeColor="text1"/>
                <w:sz w:val="18"/>
                <w:szCs w:val="18"/>
                <w:highlight w:val="none"/>
              </w:rPr>
              <w:t xml:space="preserve">费率（%）</w:t>
            </w:r>
            <w:r/>
          </w:p>
        </w:tc>
        <w:tc>
          <w:tcPr>
            <w:gridSpan w:val="4"/>
            <w:shd w:val="clear" w:color="auto" w:fill="ffffff"/>
            <w:tcBorders>
              <w:top w:val="single" w:color="000000" w:sz="8" w:space="0"/>
              <w:left w:val="single" w:color="000000" w:sz="4" w:space="0"/>
              <w:bottom w:val="single" w:color="000000" w:sz="4" w:space="0"/>
              <w:right w:val="single" w:color="000000" w:sz="4" w:space="0"/>
            </w:tcBorders>
            <w:tcW w:w="1161"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调整后</w:t>
            </w:r>
            <w:r>
              <w:rPr>
                <w:rFonts w:hint="eastAsia" w:ascii="黑体" w:hAnsi="宋体" w:eastAsia="黑体" w:cs="黑体"/>
                <w:b/>
                <w:bCs/>
                <w:color w:val="000000" w:themeColor="text1"/>
                <w:sz w:val="18"/>
                <w:szCs w:val="18"/>
                <w:highlight w:val="none"/>
              </w:rPr>
              <w:br/>
            </w:r>
            <w:r>
              <w:rPr>
                <w:rFonts w:hint="eastAsia" w:ascii="黑体" w:hAnsi="宋体" w:eastAsia="黑体" w:cs="黑体"/>
                <w:b/>
                <w:bCs/>
                <w:color w:val="000000" w:themeColor="text1"/>
                <w:sz w:val="18"/>
                <w:szCs w:val="18"/>
                <w:highlight w:val="none"/>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865"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备注</w:t>
            </w:r>
            <w:r/>
          </w:p>
        </w:tc>
      </w:tr>
      <w:tr>
        <w:trPr>
          <w:gridAfter w:val="1"/>
          <w:trHeight w:val="338"/>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011707001001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现场安全文明施工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80"/>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基本费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分部分项工程费+单价措施项目费-除税工程设备费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1.700</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65"/>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标化增加费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分部分项工程费+单价措施项目费-除税工程设备费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80"/>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扬尘污染防治增加费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分部分项工程费+单价措施项目费-除税工程设备费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0.220</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80"/>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011707010001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工程按质论价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分部分项工程费+单价措施项目费-除税工程设备费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38"/>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011707002001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夜间施工</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011707004001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二次搬运</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011707005001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冬雨季施工</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794"/>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011707006001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地上、地下设施、建筑物的临时保护设施</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011707007001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已完工程及设备保护费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011707008001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临时设施费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011707009001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赶工措施费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01B001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特殊条件下施工增加费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011707003001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非夜间施工照明</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38"/>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011707011001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住宅工程分户验收</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gridSpan w:val="2"/>
            <w:shd w:val="clear" w:color="auto" w:fill="auto"/>
            <w:tcBorders>
              <w:top w:val="single" w:color="000000" w:sz="4" w:space="0"/>
              <w:left w:val="single" w:color="000000" w:sz="8" w:space="0"/>
              <w:bottom w:val="single" w:color="000000" w:sz="8"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w:t>
            </w:r>
            <w:r/>
          </w:p>
        </w:tc>
        <w:tc>
          <w:tcPr>
            <w:gridSpan w:val="3"/>
            <w:shd w:val="clear" w:color="auto" w:fill="auto"/>
            <w:tcBorders>
              <w:top w:val="single" w:color="000000" w:sz="4" w:space="0"/>
              <w:left w:val="single" w:color="000000" w:sz="4" w:space="0"/>
              <w:bottom w:val="single" w:color="000000" w:sz="8"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011707012001</w:t>
            </w:r>
            <w:r/>
          </w:p>
        </w:tc>
        <w:tc>
          <w:tcPr>
            <w:gridSpan w:val="4"/>
            <w:shd w:val="clear" w:color="auto" w:fill="auto"/>
            <w:tcBorders>
              <w:top w:val="single" w:color="000000" w:sz="4" w:space="0"/>
              <w:left w:val="single" w:color="000000" w:sz="4" w:space="0"/>
              <w:bottom w:val="single" w:color="000000" w:sz="8"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建筑工人实名制费用</w:t>
            </w:r>
            <w:r/>
          </w:p>
        </w:tc>
        <w:tc>
          <w:tcPr>
            <w:gridSpan w:val="4"/>
            <w:shd w:val="clear" w:color="auto" w:fill="auto"/>
            <w:tcBorders>
              <w:top w:val="single" w:color="000000" w:sz="4" w:space="0"/>
              <w:left w:val="single" w:color="000000" w:sz="4" w:space="0"/>
              <w:bottom w:val="single" w:color="000000" w:sz="8" w:space="0"/>
              <w:right w:val="single" w:color="000000" w:sz="4" w:space="0"/>
            </w:tcBorders>
            <w:tcW w:w="16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8" w:space="0"/>
              <w:right w:val="single" w:color="000000" w:sz="4" w:space="0"/>
            </w:tcBorders>
            <w:tcW w:w="67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8" w:space="0"/>
              <w:right w:val="single" w:color="000000" w:sz="4" w:space="0"/>
            </w:tcBorders>
            <w:tcW w:w="90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8"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8"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8"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4695" w:hRule="exact"/>
        </w:trPr>
        <w:tc>
          <w:tcPr>
            <w:gridSpan w:val="2"/>
            <w:shd w:val="clear" w:color="auto" w:fill="auto"/>
            <w:tcBorders>
              <w:top w:val="single" w:color="000000" w:sz="4" w:space="0"/>
              <w:left w:val="single" w:color="000000" w:sz="8" w:space="0"/>
              <w:bottom w:val="single" w:color="000000" w:sz="8"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14</w:t>
            </w:r>
            <w:r/>
          </w:p>
        </w:tc>
        <w:tc>
          <w:tcPr>
            <w:gridSpan w:val="3"/>
            <w:shd w:val="clear" w:color="auto" w:fill="auto"/>
            <w:tcBorders>
              <w:top w:val="single" w:color="000000" w:sz="4" w:space="0"/>
              <w:left w:val="single" w:color="000000" w:sz="4" w:space="0"/>
              <w:bottom w:val="single" w:color="000000" w:sz="8"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011707015001</w:t>
            </w:r>
            <w:r/>
          </w:p>
        </w:tc>
        <w:tc>
          <w:tcPr>
            <w:gridSpan w:val="4"/>
            <w:shd w:val="clear" w:color="auto" w:fill="auto"/>
            <w:tcBorders>
              <w:top w:val="single" w:color="000000" w:sz="4" w:space="0"/>
              <w:left w:val="single" w:color="000000" w:sz="4" w:space="0"/>
              <w:bottom w:val="single" w:color="000000" w:sz="8"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智慧工地费用</w:t>
            </w:r>
            <w:r/>
          </w:p>
        </w:tc>
        <w:tc>
          <w:tcPr>
            <w:gridSpan w:val="4"/>
            <w:shd w:val="clear" w:color="auto" w:fill="auto"/>
            <w:tcBorders>
              <w:top w:val="single" w:color="000000" w:sz="4" w:space="0"/>
              <w:left w:val="single" w:color="000000" w:sz="4" w:space="0"/>
              <w:bottom w:val="single" w:color="000000" w:sz="8" w:space="0"/>
              <w:right w:val="single" w:color="000000" w:sz="4" w:space="0"/>
            </w:tcBorders>
            <w:tcW w:w="16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8" w:space="0"/>
              <w:right w:val="single" w:color="000000" w:sz="4" w:space="0"/>
            </w:tcBorders>
            <w:tcW w:w="67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8" w:space="0"/>
              <w:right w:val="single" w:color="000000" w:sz="4" w:space="0"/>
            </w:tcBorders>
            <w:tcW w:w="90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8"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8"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8"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现场安全隐患排查、人员信息动态管理、扬尘管控视频监控、高处作业防护预警、危大工程监测预警和集成平台等设备、软件和管理费用。</w:t>
            </w:r>
            <w:r/>
          </w:p>
        </w:tc>
      </w:tr>
      <w:tr>
        <w:trPr>
          <w:gridAfter w:val="1"/>
          <w:trHeight w:val="691"/>
        </w:trPr>
        <w:tc>
          <w:tcPr>
            <w:gridSpan w:val="33"/>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val="false"/>
          </w:tcPr>
          <w:p>
            <w:pPr>
              <w:jc w:val="center"/>
              <w:widowControl/>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p>
          <w:p>
            <w:pPr>
              <w:jc w:val="center"/>
              <w:widowControl/>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其他项目清单与计价汇总表</w:t>
            </w:r>
            <w:r/>
          </w:p>
        </w:tc>
      </w:tr>
      <w:tr>
        <w:trPr>
          <w:gridAfter w:val="1"/>
          <w:trHeight w:val="353"/>
        </w:trPr>
        <w:tc>
          <w:tcPr>
            <w:gridSpan w:val="18"/>
            <w:shd w:val="clear" w:color="auto" w:fill="auto"/>
            <w:tcBorders>
              <w:top w:val="none" w:color="000000" w:sz="4" w:space="0"/>
              <w:left w:val="none" w:color="000000" w:sz="4" w:space="0"/>
              <w:bottom w:val="single" w:color="000000" w:sz="8" w:space="0"/>
              <w:right w:val="none" w:color="000000" w:sz="4" w:space="0"/>
            </w:tcBorders>
            <w:tcW w:w="6118"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工程名称：装饰工程</w:t>
            </w:r>
            <w:r/>
          </w:p>
        </w:tc>
        <w:tc>
          <w:tcPr>
            <w:gridSpan w:val="9"/>
            <w:shd w:val="clear" w:color="auto" w:fill="auto"/>
            <w:tcBorders>
              <w:top w:val="none" w:color="000000" w:sz="4" w:space="0"/>
              <w:left w:val="none" w:color="000000" w:sz="4" w:space="0"/>
              <w:bottom w:val="single" w:color="000000" w:sz="8" w:space="0"/>
              <w:right w:val="none" w:color="000000" w:sz="4" w:space="0"/>
            </w:tcBorders>
            <w:tcW w:w="1663"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标段：</w:t>
            </w:r>
            <w:r/>
          </w:p>
        </w:tc>
        <w:tc>
          <w:tcPr>
            <w:gridSpan w:val="6"/>
            <w:shd w:val="clear" w:color="auto" w:fill="auto"/>
            <w:tcBorders>
              <w:top w:val="none" w:color="000000" w:sz="4" w:space="0"/>
              <w:left w:val="none" w:color="000000" w:sz="4" w:space="0"/>
              <w:bottom w:val="single" w:color="000000" w:sz="8" w:space="0"/>
              <w:right w:val="none" w:color="000000" w:sz="4" w:space="0"/>
            </w:tcBorders>
            <w:tcW w:w="2057" w:type="dxa"/>
            <w:vAlign w:val="center"/>
            <w:textDirection w:val="lrTb"/>
            <w:noWrap w:val="false"/>
          </w:tcPr>
          <w:p>
            <w:pPr>
              <w:jc w:val="righ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第1页 共1页</w:t>
            </w:r>
            <w:r/>
          </w:p>
        </w:tc>
      </w:tr>
      <w:tr>
        <w:trPr>
          <w:gridAfter w:val="1"/>
          <w:trHeight w:val="338"/>
        </w:trPr>
        <w:tc>
          <w:tcPr>
            <w:gridSpan w:val="4"/>
            <w:shd w:val="clear" w:color="auto" w:fill="ffffff"/>
            <w:tcBorders>
              <w:top w:val="single" w:color="000000" w:sz="8" w:space="0"/>
              <w:left w:val="single" w:color="000000" w:sz="8" w:space="0"/>
              <w:bottom w:val="single" w:color="000000" w:sz="4" w:space="0"/>
              <w:right w:val="single" w:color="000000" w:sz="4" w:space="0"/>
            </w:tcBorders>
            <w:tcW w:w="1161"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序号</w:t>
            </w:r>
            <w:r/>
          </w:p>
        </w:tc>
        <w:tc>
          <w:tcPr>
            <w:gridSpan w:val="6"/>
            <w:shd w:val="clear" w:color="auto" w:fill="ffffff"/>
            <w:tcBorders>
              <w:top w:val="single" w:color="000000" w:sz="8" w:space="0"/>
              <w:left w:val="single" w:color="000000" w:sz="4" w:space="0"/>
              <w:bottom w:val="single" w:color="000000" w:sz="4" w:space="0"/>
              <w:right w:val="single" w:color="000000" w:sz="4" w:space="0"/>
            </w:tcBorders>
            <w:tcW w:w="3309"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项目名称</w:t>
            </w:r>
            <w:r/>
          </w:p>
        </w:tc>
        <w:tc>
          <w:tcPr>
            <w:gridSpan w:val="8"/>
            <w:shd w:val="clear" w:color="auto" w:fill="ffffff"/>
            <w:tcBorders>
              <w:top w:val="single" w:color="000000" w:sz="8" w:space="0"/>
              <w:left w:val="single" w:color="000000" w:sz="4" w:space="0"/>
              <w:bottom w:val="single" w:color="000000" w:sz="4" w:space="0"/>
              <w:right w:val="single" w:color="000000" w:sz="4" w:space="0"/>
            </w:tcBorders>
            <w:tcW w:w="1648"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金额(元)</w:t>
            </w:r>
            <w:r/>
          </w:p>
        </w:tc>
        <w:tc>
          <w:tcPr>
            <w:gridSpan w:val="9"/>
            <w:shd w:val="clear" w:color="auto" w:fill="ffffff"/>
            <w:tcBorders>
              <w:top w:val="single" w:color="000000" w:sz="8" w:space="0"/>
              <w:left w:val="single" w:color="000000" w:sz="4" w:space="0"/>
              <w:bottom w:val="single" w:color="000000" w:sz="4" w:space="0"/>
              <w:right w:val="single" w:color="000000" w:sz="4" w:space="0"/>
            </w:tcBorders>
            <w:tcW w:w="1663"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结算金额(元)</w:t>
            </w:r>
            <w:r/>
          </w:p>
        </w:tc>
        <w:tc>
          <w:tcPr>
            <w:gridSpan w:val="6"/>
            <w:shd w:val="clear" w:color="auto" w:fill="ffffff"/>
            <w:tcBorders>
              <w:top w:val="single" w:color="000000" w:sz="8" w:space="0"/>
              <w:left w:val="single" w:color="000000" w:sz="4" w:space="0"/>
              <w:bottom w:val="single" w:color="000000" w:sz="4" w:space="0"/>
              <w:right w:val="single" w:color="000000" w:sz="8" w:space="0"/>
            </w:tcBorders>
            <w:tcW w:w="2057"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备注</w:t>
            </w:r>
            <w:r/>
          </w:p>
        </w:tc>
      </w:tr>
      <w:tr>
        <w:trPr>
          <w:gridAfter w:val="1"/>
          <w:trHeight w:val="353"/>
        </w:trPr>
        <w:tc>
          <w:tcPr>
            <w:gridSpan w:val="4"/>
            <w:shd w:val="clear" w:color="auto" w:fill="auto"/>
            <w:tcBorders>
              <w:top w:val="single" w:color="000000" w:sz="4" w:space="0"/>
              <w:left w:val="single" w:color="000000" w:sz="8" w:space="0"/>
              <w:bottom w:val="single" w:color="000000" w:sz="4" w:space="0"/>
              <w:right w:val="single" w:color="000000" w:sz="4" w:space="0"/>
            </w:tcBorders>
            <w:tcW w:w="11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暂列金额</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8" w:space="0"/>
            </w:tcBorders>
            <w:tcW w:w="2057"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4"/>
            <w:shd w:val="clear" w:color="auto" w:fill="auto"/>
            <w:tcBorders>
              <w:top w:val="single" w:color="000000" w:sz="4" w:space="0"/>
              <w:left w:val="single" w:color="000000" w:sz="8" w:space="0"/>
              <w:bottom w:val="single" w:color="000000" w:sz="4" w:space="0"/>
              <w:right w:val="single" w:color="000000" w:sz="4" w:space="0"/>
            </w:tcBorders>
            <w:tcW w:w="11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暂估价</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8" w:space="0"/>
            </w:tcBorders>
            <w:tcW w:w="2057"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38"/>
        </w:trPr>
        <w:tc>
          <w:tcPr>
            <w:gridSpan w:val="4"/>
            <w:shd w:val="clear" w:color="auto" w:fill="auto"/>
            <w:tcBorders>
              <w:top w:val="single" w:color="000000" w:sz="4" w:space="0"/>
              <w:left w:val="single" w:color="000000" w:sz="8" w:space="0"/>
              <w:bottom w:val="single" w:color="000000" w:sz="4" w:space="0"/>
              <w:right w:val="single" w:color="000000" w:sz="4" w:space="0"/>
            </w:tcBorders>
            <w:tcW w:w="11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2.1</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材料暂估价</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8" w:space="0"/>
            </w:tcBorders>
            <w:tcW w:w="2057"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4"/>
            <w:shd w:val="clear" w:color="auto" w:fill="auto"/>
            <w:tcBorders>
              <w:top w:val="single" w:color="000000" w:sz="4" w:space="0"/>
              <w:left w:val="single" w:color="000000" w:sz="8" w:space="0"/>
              <w:bottom w:val="single" w:color="000000" w:sz="4" w:space="0"/>
              <w:right w:val="single" w:color="000000" w:sz="4" w:space="0"/>
            </w:tcBorders>
            <w:tcW w:w="11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2.2</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专业工程暂估价</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8" w:space="0"/>
            </w:tcBorders>
            <w:tcW w:w="2057"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4"/>
            <w:shd w:val="clear" w:color="auto" w:fill="auto"/>
            <w:tcBorders>
              <w:top w:val="single" w:color="000000" w:sz="4" w:space="0"/>
              <w:left w:val="single" w:color="000000" w:sz="8" w:space="0"/>
              <w:bottom w:val="single" w:color="000000" w:sz="4" w:space="0"/>
              <w:right w:val="single" w:color="000000" w:sz="4" w:space="0"/>
            </w:tcBorders>
            <w:tcW w:w="11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计日工</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8" w:space="0"/>
            </w:tcBorders>
            <w:tcW w:w="2057"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38"/>
        </w:trPr>
        <w:tc>
          <w:tcPr>
            <w:gridSpan w:val="4"/>
            <w:shd w:val="clear" w:color="auto" w:fill="auto"/>
            <w:tcBorders>
              <w:top w:val="single" w:color="000000" w:sz="4" w:space="0"/>
              <w:left w:val="single" w:color="000000" w:sz="8" w:space="0"/>
              <w:bottom w:val="single" w:color="000000" w:sz="4" w:space="0"/>
              <w:right w:val="single" w:color="000000" w:sz="4" w:space="0"/>
            </w:tcBorders>
            <w:tcW w:w="11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总承包服务费</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8" w:space="0"/>
            </w:tcBorders>
            <w:tcW w:w="2057"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441"/>
        </w:trPr>
        <w:tc>
          <w:tcPr>
            <w:gridSpan w:val="10"/>
            <w:shd w:val="clear" w:color="auto" w:fill="auto"/>
            <w:tcBorders>
              <w:top w:val="single" w:color="000000" w:sz="4" w:space="0"/>
              <w:left w:val="single" w:color="000000" w:sz="8" w:space="0"/>
              <w:bottom w:val="single" w:color="000000" w:sz="8" w:space="0"/>
              <w:right w:val="single" w:color="000000" w:sz="4" w:space="0"/>
            </w:tcBorders>
            <w:tcW w:w="447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合  计</w:t>
            </w:r>
            <w:r/>
          </w:p>
        </w:tc>
        <w:tc>
          <w:tcPr>
            <w:gridSpan w:val="8"/>
            <w:shd w:val="clear" w:color="auto" w:fill="auto"/>
            <w:tcBorders>
              <w:top w:val="single" w:color="000000" w:sz="4" w:space="0"/>
              <w:left w:val="single" w:color="000000" w:sz="4" w:space="0"/>
              <w:bottom w:val="single" w:color="000000" w:sz="8" w:space="0"/>
              <w:right w:val="single" w:color="000000" w:sz="4" w:space="0"/>
            </w:tcBorders>
            <w:tcW w:w="164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9"/>
            <w:shd w:val="clear" w:color="auto" w:fill="auto"/>
            <w:tcBorders>
              <w:top w:val="single" w:color="000000" w:sz="4" w:space="0"/>
              <w:left w:val="single" w:color="000000" w:sz="4" w:space="0"/>
              <w:bottom w:val="single" w:color="000000" w:sz="8" w:space="0"/>
              <w:right w:val="single" w:color="000000" w:sz="4" w:space="0"/>
            </w:tcBorders>
            <w:tcW w:w="166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8" w:space="0"/>
              <w:right w:val="single" w:color="000000" w:sz="8" w:space="0"/>
            </w:tcBorders>
            <w:tcW w:w="2057"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91"/>
        </w:trPr>
        <w:tc>
          <w:tcPr>
            <w:gridSpan w:val="4"/>
            <w:shd w:val="clear" w:color="auto" w:fill="auto"/>
            <w:tcBorders>
              <w:top w:val="single" w:color="000000" w:sz="8" w:space="0"/>
              <w:left w:val="none" w:color="000000" w:sz="4" w:space="0"/>
              <w:bottom w:val="none" w:color="000000" w:sz="4" w:space="0"/>
              <w:right w:val="none" w:color="000000" w:sz="4" w:space="0"/>
            </w:tcBorders>
            <w:tcW w:w="1161" w:type="dxa"/>
            <w:textDirection w:val="lrTb"/>
            <w:noWrap/>
          </w:tcPr>
          <w:p>
            <w:pPr>
              <w:rPr>
                <w:rFonts w:ascii="Arial" w:hAnsi="Arial" w:cs="Arial"/>
                <w:color w:val="000000" w:themeColor="text1"/>
                <w:sz w:val="18"/>
                <w:szCs w:val="18"/>
                <w:highlight w:val="none"/>
              </w:rPr>
            </w:pPr>
            <w:r>
              <w:rPr>
                <w:rFonts w:ascii="Arial" w:hAnsi="Arial" w:cs="Arial"/>
                <w:color w:val="000000" w:themeColor="text1"/>
                <w:sz w:val="18"/>
                <w:szCs w:val="18"/>
                <w:highlight w:val="none"/>
              </w:rPr>
            </w:r>
            <w:r/>
          </w:p>
        </w:tc>
        <w:tc>
          <w:tcPr>
            <w:gridSpan w:val="6"/>
            <w:shd w:val="clear" w:color="auto" w:fill="auto"/>
            <w:tcBorders>
              <w:top w:val="single" w:color="000000" w:sz="8" w:space="0"/>
              <w:left w:val="none" w:color="000000" w:sz="4" w:space="0"/>
              <w:bottom w:val="none" w:color="000000" w:sz="4" w:space="0"/>
              <w:right w:val="none" w:color="000000" w:sz="4" w:space="0"/>
            </w:tcBorders>
            <w:tcW w:w="3309" w:type="dxa"/>
            <w:textDirection w:val="lrTb"/>
            <w:noWrap/>
          </w:tcPr>
          <w:p>
            <w:pPr>
              <w:rPr>
                <w:rFonts w:ascii="Arial" w:hAnsi="Arial" w:cs="Arial"/>
                <w:color w:val="000000" w:themeColor="text1"/>
                <w:sz w:val="18"/>
                <w:szCs w:val="18"/>
                <w:highlight w:val="none"/>
              </w:rPr>
            </w:pPr>
            <w:r>
              <w:rPr>
                <w:rFonts w:ascii="Arial" w:hAnsi="Arial" w:cs="Arial"/>
                <w:color w:val="000000" w:themeColor="text1"/>
                <w:sz w:val="18"/>
                <w:szCs w:val="18"/>
                <w:highlight w:val="none"/>
              </w:rPr>
            </w:r>
            <w:r/>
          </w:p>
        </w:tc>
        <w:tc>
          <w:tcPr>
            <w:gridSpan w:val="8"/>
            <w:shd w:val="clear" w:color="auto" w:fill="auto"/>
            <w:tcBorders>
              <w:top w:val="single" w:color="000000" w:sz="8" w:space="0"/>
              <w:left w:val="none" w:color="000000" w:sz="4" w:space="0"/>
              <w:bottom w:val="none" w:color="000000" w:sz="4" w:space="0"/>
              <w:right w:val="none" w:color="000000" w:sz="4" w:space="0"/>
            </w:tcBorders>
            <w:tcW w:w="1648" w:type="dxa"/>
            <w:textDirection w:val="lrTb"/>
            <w:noWrap/>
          </w:tcPr>
          <w:p>
            <w:pPr>
              <w:rPr>
                <w:rFonts w:ascii="Arial" w:hAnsi="Arial" w:cs="Arial"/>
                <w:color w:val="000000" w:themeColor="text1"/>
                <w:sz w:val="18"/>
                <w:szCs w:val="18"/>
                <w:highlight w:val="none"/>
              </w:rPr>
            </w:pPr>
            <w:r>
              <w:rPr>
                <w:rFonts w:ascii="Arial" w:hAnsi="Arial" w:cs="Arial"/>
                <w:color w:val="000000" w:themeColor="text1"/>
                <w:sz w:val="18"/>
                <w:szCs w:val="18"/>
                <w:highlight w:val="none"/>
              </w:rPr>
            </w:r>
            <w:r/>
          </w:p>
        </w:tc>
        <w:tc>
          <w:tcPr>
            <w:gridSpan w:val="9"/>
            <w:shd w:val="clear" w:color="auto" w:fill="auto"/>
            <w:tcBorders>
              <w:top w:val="single" w:color="000000" w:sz="8" w:space="0"/>
              <w:left w:val="none" w:color="000000" w:sz="4" w:space="0"/>
              <w:bottom w:val="none" w:color="000000" w:sz="4" w:space="0"/>
              <w:right w:val="none" w:color="000000" w:sz="4" w:space="0"/>
            </w:tcBorders>
            <w:tcW w:w="1663" w:type="dxa"/>
            <w:textDirection w:val="lrTb"/>
            <w:noWrap/>
          </w:tcPr>
          <w:p>
            <w:pPr>
              <w:rPr>
                <w:rFonts w:ascii="Arial" w:hAnsi="Arial" w:cs="Arial"/>
                <w:color w:val="000000" w:themeColor="text1"/>
                <w:sz w:val="18"/>
                <w:szCs w:val="18"/>
                <w:highlight w:val="none"/>
              </w:rPr>
            </w:pPr>
            <w:r>
              <w:rPr>
                <w:rFonts w:ascii="Arial" w:hAnsi="Arial" w:cs="Arial"/>
                <w:color w:val="000000" w:themeColor="text1"/>
                <w:sz w:val="18"/>
                <w:szCs w:val="18"/>
                <w:highlight w:val="none"/>
              </w:rPr>
            </w:r>
            <w:r/>
          </w:p>
        </w:tc>
        <w:tc>
          <w:tcPr>
            <w:gridSpan w:val="6"/>
            <w:shd w:val="clear" w:color="auto" w:fill="auto"/>
            <w:tcBorders>
              <w:top w:val="single" w:color="000000" w:sz="8" w:space="0"/>
              <w:left w:val="none" w:color="000000" w:sz="4" w:space="0"/>
              <w:bottom w:val="none" w:color="000000" w:sz="4" w:space="0"/>
              <w:right w:val="none" w:color="000000" w:sz="4" w:space="0"/>
            </w:tcBorders>
            <w:tcW w:w="2057" w:type="dxa"/>
            <w:textDirection w:val="lrTb"/>
            <w:noWrap/>
          </w:tcPr>
          <w:p>
            <w:pPr>
              <w:rPr>
                <w:rFonts w:ascii="Arial" w:hAnsi="Arial" w:cs="Arial"/>
                <w:color w:val="000000" w:themeColor="text1"/>
                <w:sz w:val="18"/>
                <w:szCs w:val="18"/>
                <w:highlight w:val="none"/>
              </w:rPr>
            </w:pPr>
            <w:r>
              <w:rPr>
                <w:rFonts w:ascii="Arial" w:hAnsi="Arial" w:cs="Arial"/>
                <w:color w:val="000000" w:themeColor="text1"/>
                <w:sz w:val="18"/>
                <w:szCs w:val="18"/>
                <w:highlight w:val="none"/>
              </w:rPr>
            </w:r>
            <w:r/>
          </w:p>
        </w:tc>
      </w:tr>
      <w:tr>
        <w:trPr>
          <w:gridAfter w:val="1"/>
          <w:trHeight w:val="691"/>
        </w:trPr>
        <w:tc>
          <w:tcPr>
            <w:gridSpan w:val="33"/>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val="false"/>
          </w:tcPr>
          <w:p>
            <w:pPr>
              <w:jc w:val="center"/>
              <w:widowControl/>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规费、税金项目计价表</w:t>
            </w:r>
            <w:r/>
          </w:p>
        </w:tc>
      </w:tr>
      <w:tr>
        <w:trPr>
          <w:gridAfter w:val="1"/>
          <w:trHeight w:val="353"/>
        </w:trPr>
        <w:tc>
          <w:tcPr>
            <w:gridSpan w:val="17"/>
            <w:shd w:val="clear" w:color="auto" w:fill="auto"/>
            <w:tcBorders>
              <w:top w:val="none" w:color="000000" w:sz="4" w:space="0"/>
              <w:left w:val="none" w:color="000000" w:sz="4" w:space="0"/>
              <w:bottom w:val="single" w:color="000000" w:sz="8" w:space="0"/>
              <w:right w:val="none" w:color="000000" w:sz="4" w:space="0"/>
            </w:tcBorders>
            <w:tcW w:w="6053"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工程名称：装饰工程</w:t>
            </w:r>
            <w:r/>
          </w:p>
        </w:tc>
        <w:tc>
          <w:tcPr>
            <w:gridSpan w:val="6"/>
            <w:shd w:val="clear" w:color="auto" w:fill="auto"/>
            <w:tcBorders>
              <w:top w:val="none" w:color="000000" w:sz="4" w:space="0"/>
              <w:left w:val="none" w:color="000000" w:sz="4" w:space="0"/>
              <w:bottom w:val="single" w:color="000000" w:sz="8" w:space="0"/>
              <w:right w:val="none" w:color="000000" w:sz="4" w:space="0"/>
            </w:tcBorders>
            <w:tcW w:w="1541"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标段：</w:t>
            </w:r>
            <w:r/>
          </w:p>
        </w:tc>
        <w:tc>
          <w:tcPr>
            <w:gridSpan w:val="10"/>
            <w:shd w:val="clear" w:color="auto" w:fill="auto"/>
            <w:tcBorders>
              <w:top w:val="none" w:color="000000" w:sz="4" w:space="0"/>
              <w:left w:val="none" w:color="000000" w:sz="4" w:space="0"/>
              <w:bottom w:val="single" w:color="000000" w:sz="8" w:space="0"/>
              <w:right w:val="none" w:color="000000" w:sz="4" w:space="0"/>
            </w:tcBorders>
            <w:tcW w:w="2244" w:type="dxa"/>
            <w:vAlign w:val="center"/>
            <w:textDirection w:val="lrTb"/>
            <w:noWrap w:val="false"/>
          </w:tcPr>
          <w:p>
            <w:pPr>
              <w:jc w:val="righ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第1页 共1页</w:t>
            </w:r>
            <w:r/>
          </w:p>
        </w:tc>
      </w:tr>
      <w:tr>
        <w:trPr>
          <w:gridAfter w:val="1"/>
          <w:trHeight w:val="559"/>
        </w:trPr>
        <w:tc>
          <w:tcPr>
            <w:gridSpan w:val="3"/>
            <w:shd w:val="clear" w:color="auto" w:fill="ffffff"/>
            <w:tcBorders>
              <w:top w:val="single" w:color="000000" w:sz="8" w:space="0"/>
              <w:left w:val="single" w:color="000000" w:sz="8" w:space="0"/>
              <w:bottom w:val="single" w:color="000000" w:sz="4" w:space="0"/>
              <w:right w:val="single" w:color="000000" w:sz="4" w:space="0"/>
            </w:tcBorders>
            <w:tcW w:w="770"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序号</w:t>
            </w:r>
            <w:r/>
          </w:p>
        </w:tc>
        <w:tc>
          <w:tcPr>
            <w:gridSpan w:val="4"/>
            <w:shd w:val="clear" w:color="auto" w:fill="ffffff"/>
            <w:tcBorders>
              <w:top w:val="single" w:color="000000" w:sz="8"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项目名称</w:t>
            </w:r>
            <w:r/>
          </w:p>
        </w:tc>
        <w:tc>
          <w:tcPr>
            <w:gridSpan w:val="10"/>
            <w:shd w:val="clear" w:color="auto" w:fill="ffffff"/>
            <w:tcBorders>
              <w:top w:val="single" w:color="000000" w:sz="8" w:space="0"/>
              <w:left w:val="single" w:color="000000" w:sz="4" w:space="0"/>
              <w:bottom w:val="single" w:color="000000" w:sz="4" w:space="0"/>
              <w:right w:val="single" w:color="000000" w:sz="4" w:space="0"/>
            </w:tcBorders>
            <w:tcW w:w="3108"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计算基础</w:t>
            </w:r>
            <w:r/>
          </w:p>
        </w:tc>
        <w:tc>
          <w:tcPr>
            <w:gridSpan w:val="6"/>
            <w:shd w:val="clear" w:color="auto" w:fill="ffffff"/>
            <w:tcBorders>
              <w:top w:val="single" w:color="000000" w:sz="8" w:space="0"/>
              <w:left w:val="single" w:color="000000" w:sz="4" w:space="0"/>
              <w:bottom w:val="single" w:color="000000" w:sz="4" w:space="0"/>
              <w:right w:val="single" w:color="000000" w:sz="4" w:space="0"/>
            </w:tcBorders>
            <w:tcW w:w="1541"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计算基数(元)</w:t>
            </w:r>
            <w:r/>
          </w:p>
        </w:tc>
        <w:tc>
          <w:tcPr>
            <w:gridSpan w:val="6"/>
            <w:shd w:val="clear" w:color="auto" w:fill="ffffff"/>
            <w:tcBorders>
              <w:top w:val="single" w:color="000000" w:sz="8" w:space="0"/>
              <w:left w:val="single" w:color="000000" w:sz="4" w:space="0"/>
              <w:bottom w:val="single" w:color="000000" w:sz="4" w:space="0"/>
              <w:right w:val="single" w:color="000000" w:sz="4" w:space="0"/>
            </w:tcBorders>
            <w:tcW w:w="1161"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计算费率(％)</w:t>
            </w:r>
            <w:r/>
          </w:p>
        </w:tc>
        <w:tc>
          <w:tcPr>
            <w:gridSpan w:val="4"/>
            <w:shd w:val="clear" w:color="auto" w:fill="ffffff"/>
            <w:tcBorders>
              <w:top w:val="single" w:color="000000" w:sz="8" w:space="0"/>
              <w:left w:val="single" w:color="000000" w:sz="4" w:space="0"/>
              <w:bottom w:val="single" w:color="000000" w:sz="4" w:space="0"/>
              <w:right w:val="single" w:color="000000" w:sz="8" w:space="0"/>
            </w:tcBorders>
            <w:tcW w:w="1083"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金额(元)</w:t>
            </w:r>
            <w:r/>
          </w:p>
        </w:tc>
      </w:tr>
      <w:tr>
        <w:trPr>
          <w:gridAfter w:val="1"/>
          <w:trHeight w:val="353"/>
        </w:trPr>
        <w:tc>
          <w:tcPr>
            <w:gridSpan w:val="3"/>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规费</w:t>
            </w:r>
            <w:r/>
          </w:p>
        </w:tc>
        <w:tc>
          <w:tcPr>
            <w:gridSpan w:val="10"/>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100.000</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0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gridSpan w:val="3"/>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社会保险费</w:t>
            </w:r>
            <w:r/>
          </w:p>
        </w:tc>
        <w:tc>
          <w:tcPr>
            <w:gridSpan w:val="10"/>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分部分项工程费+措施项目费+其他项目费-除税工程设备费</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2.400</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0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gridSpan w:val="3"/>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住房公积金</w:t>
            </w:r>
            <w:r/>
          </w:p>
        </w:tc>
        <w:tc>
          <w:tcPr>
            <w:gridSpan w:val="10"/>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分部分项工程费+措施项目费+其他项目费-除税工程设备费</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0.420</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0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gridSpan w:val="3"/>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环境保护税</w:t>
            </w:r>
            <w:r/>
          </w:p>
        </w:tc>
        <w:tc>
          <w:tcPr>
            <w:gridSpan w:val="10"/>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分部分项工程费+措施项目费+其他项目费-除税工程设备费</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0.100</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0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gridSpan w:val="3"/>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税金</w:t>
            </w:r>
            <w:r/>
          </w:p>
        </w:tc>
        <w:tc>
          <w:tcPr>
            <w:gridSpan w:val="10"/>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分部分项工程费+措施项目费+其他项目费+规费-除税甲供材料和甲供设备费/1.01</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9.000</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0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441"/>
        </w:trPr>
        <w:tc>
          <w:tcPr>
            <w:gridSpan w:val="29"/>
            <w:shd w:val="clear" w:color="auto" w:fill="auto"/>
            <w:tcBorders>
              <w:top w:val="single" w:color="000000" w:sz="4" w:space="0"/>
              <w:left w:val="single" w:color="000000" w:sz="8" w:space="0"/>
              <w:bottom w:val="single" w:color="000000" w:sz="8" w:space="0"/>
              <w:right w:val="single" w:color="000000" w:sz="4" w:space="0"/>
            </w:tcBorders>
            <w:tcW w:w="875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合  计</w:t>
            </w:r>
            <w:r/>
          </w:p>
        </w:tc>
        <w:tc>
          <w:tcPr>
            <w:gridSpan w:val="4"/>
            <w:shd w:val="clear" w:color="auto" w:fill="auto"/>
            <w:tcBorders>
              <w:top w:val="single" w:color="000000" w:sz="4" w:space="0"/>
              <w:left w:val="single" w:color="000000" w:sz="4" w:space="0"/>
              <w:bottom w:val="single" w:color="000000" w:sz="8" w:space="0"/>
              <w:right w:val="single" w:color="000000" w:sz="8" w:space="0"/>
            </w:tcBorders>
            <w:tcW w:w="10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691"/>
        </w:trPr>
        <w:tc>
          <w:tcPr>
            <w:gridSpan w:val="33"/>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val="false"/>
          </w:tcPr>
          <w:p>
            <w:pPr>
              <w:widowControl/>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p>
          <w:p>
            <w:pPr>
              <w:jc w:val="center"/>
              <w:widowControl/>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分部分项工程和单价措施项目清单与计价表</w:t>
            </w:r>
            <w:r/>
          </w:p>
        </w:tc>
      </w:tr>
      <w:tr>
        <w:trPr>
          <w:gridAfter w:val="1"/>
          <w:trHeight w:val="353"/>
        </w:trPr>
        <w:tc>
          <w:tcPr>
            <w:gridSpan w:val="15"/>
            <w:shd w:val="clear" w:color="auto" w:fill="auto"/>
            <w:tcBorders>
              <w:top w:val="none" w:color="000000" w:sz="4" w:space="0"/>
              <w:left w:val="none" w:color="000000" w:sz="4" w:space="0"/>
              <w:bottom w:val="single" w:color="000000" w:sz="8" w:space="0"/>
              <w:right w:val="none" w:color="000000" w:sz="4" w:space="0"/>
            </w:tcBorders>
            <w:tcW w:w="5862"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工程名称：家具工程</w:t>
            </w:r>
            <w:r/>
          </w:p>
        </w:tc>
        <w:tc>
          <w:tcPr>
            <w:gridSpan w:val="7"/>
            <w:shd w:val="clear" w:color="auto" w:fill="auto"/>
            <w:tcBorders>
              <w:top w:val="none" w:color="000000" w:sz="4" w:space="0"/>
              <w:left w:val="none" w:color="000000" w:sz="4" w:space="0"/>
              <w:bottom w:val="single" w:color="000000" w:sz="8" w:space="0"/>
              <w:right w:val="none" w:color="000000" w:sz="4" w:space="0"/>
            </w:tcBorders>
            <w:tcW w:w="1067"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标段：</w:t>
            </w:r>
            <w:r/>
          </w:p>
        </w:tc>
        <w:tc>
          <w:tcPr>
            <w:gridSpan w:val="11"/>
            <w:shd w:val="clear" w:color="auto" w:fill="auto"/>
            <w:tcBorders>
              <w:top w:val="none" w:color="000000" w:sz="4" w:space="0"/>
              <w:left w:val="none" w:color="000000" w:sz="4" w:space="0"/>
              <w:bottom w:val="single" w:color="000000" w:sz="8" w:space="0"/>
              <w:right w:val="none" w:color="000000" w:sz="4" w:space="0"/>
            </w:tcBorders>
            <w:tcW w:w="2909" w:type="dxa"/>
            <w:vAlign w:val="center"/>
            <w:textDirection w:val="lrTb"/>
            <w:noWrap w:val="false"/>
          </w:tcPr>
          <w:p>
            <w:pPr>
              <w:jc w:val="righ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第1页 共11页</w:t>
            </w:r>
            <w:r/>
          </w:p>
        </w:tc>
      </w:tr>
      <w:tr>
        <w:trPr>
          <w:gridAfter w:val="1"/>
          <w:trHeight w:val="338"/>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序号</w:t>
            </w:r>
            <w:r/>
          </w:p>
        </w:tc>
        <w:tc>
          <w:tcPr>
            <w:gridSpan w:val="5"/>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项目编码</w:t>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540"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项目名称</w:t>
            </w:r>
            <w:r/>
          </w:p>
        </w:tc>
        <w:tc>
          <w:tcPr>
            <w:gridSpan w:val="4"/>
            <w:shd w:val="clear" w:color="auto" w:fill="ffffff"/>
            <w:tcBorders>
              <w:top w:val="single" w:color="000000" w:sz="8" w:space="0"/>
              <w:left w:val="single" w:color="000000" w:sz="4" w:space="0"/>
              <w:bottom w:val="single" w:color="000000" w:sz="4" w:space="0"/>
              <w:right w:val="single" w:color="000000" w:sz="4" w:space="0"/>
            </w:tcBorders>
            <w:tcW w:w="1783"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项目特征描述</w:t>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计量</w:t>
            </w:r>
            <w:r>
              <w:rPr>
                <w:rFonts w:hint="eastAsia" w:ascii="黑体" w:hAnsi="宋体" w:eastAsia="黑体" w:cs="黑体"/>
                <w:b/>
                <w:bCs/>
                <w:color w:val="000000" w:themeColor="text1"/>
                <w:sz w:val="18"/>
                <w:szCs w:val="18"/>
                <w:highlight w:val="none"/>
              </w:rPr>
              <w:br/>
            </w:r>
            <w:r>
              <w:rPr>
                <w:rFonts w:hint="eastAsia" w:ascii="黑体" w:hAnsi="宋体" w:eastAsia="黑体" w:cs="黑体"/>
                <w:b/>
                <w:bCs/>
                <w:color w:val="000000" w:themeColor="text1"/>
                <w:sz w:val="18"/>
                <w:szCs w:val="18"/>
                <w:highlight w:val="none"/>
              </w:rPr>
              <w:t xml:space="preserve">单位</w:t>
            </w:r>
            <w:r/>
          </w:p>
        </w:tc>
        <w:tc>
          <w:tcPr>
            <w:gridSpan w:val="7"/>
            <w:shd w:val="clear" w:color="auto" w:fill="ffffff"/>
            <w:tcBorders>
              <w:top w:val="single" w:color="000000" w:sz="8"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工程量</w:t>
            </w:r>
            <w:r/>
          </w:p>
        </w:tc>
        <w:tc>
          <w:tcPr>
            <w:gridSpan w:val="11"/>
            <w:shd w:val="clear" w:color="auto" w:fill="ffffff"/>
            <w:tcBorders>
              <w:top w:val="single" w:color="000000" w:sz="8" w:space="0"/>
              <w:left w:val="single" w:color="000000" w:sz="4" w:space="0"/>
              <w:bottom w:val="single" w:color="000000" w:sz="4" w:space="0"/>
              <w:right w:val="single" w:color="000000" w:sz="8" w:space="0"/>
            </w:tcBorders>
            <w:tcW w:w="2909" w:type="dxa"/>
            <w:vAlign w:val="center"/>
            <w:textDirection w:val="lrTb"/>
            <w:noWrap/>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金额（元）</w:t>
            </w:r>
            <w:r/>
          </w:p>
        </w:tc>
      </w:tr>
      <w:tr>
        <w:trPr>
          <w:gridAfter w:val="1"/>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5"/>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4"/>
            <w:shd w:val="clear" w:color="auto" w:fill="ffffff"/>
            <w:tcBorders>
              <w:top w:val="single" w:color="000000" w:sz="8" w:space="0"/>
              <w:left w:val="single" w:color="000000" w:sz="4" w:space="0"/>
              <w:bottom w:val="single" w:color="000000" w:sz="4" w:space="0"/>
              <w:right w:val="single" w:color="000000" w:sz="4" w:space="0"/>
            </w:tcBorders>
            <w:tcW w:w="1783"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7"/>
            <w:shd w:val="clear" w:color="auto" w:fill="ffffff"/>
            <w:tcBorders>
              <w:top w:val="single" w:color="000000" w:sz="8"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综合单价</w:t>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1120"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合价</w:t>
            </w:r>
            <w:r/>
          </w:p>
        </w:tc>
        <w:tc>
          <w:tcPr>
            <w:gridSpan w:val="3"/>
            <w:shd w:val="clear" w:color="auto" w:fill="ffffff"/>
            <w:tcBorders>
              <w:top w:val="single" w:color="000000" w:sz="4" w:space="0"/>
              <w:left w:val="single" w:color="000000" w:sz="4" w:space="0"/>
              <w:bottom w:val="single" w:color="000000" w:sz="4" w:space="0"/>
              <w:right w:val="single" w:color="000000" w:sz="8" w:space="0"/>
            </w:tcBorders>
            <w:tcW w:w="1013" w:type="dxa"/>
            <w:vAlign w:val="center"/>
            <w:textDirection w:val="lrTb"/>
            <w:noWrap/>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其中</w:t>
            </w:r>
            <w:r/>
          </w:p>
        </w:tc>
      </w:tr>
      <w:tr>
        <w:trPr>
          <w:gridAfter w:val="1"/>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5"/>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4"/>
            <w:shd w:val="clear" w:color="auto" w:fill="ffffff"/>
            <w:tcBorders>
              <w:top w:val="single" w:color="000000" w:sz="8" w:space="0"/>
              <w:left w:val="single" w:color="000000" w:sz="4" w:space="0"/>
              <w:bottom w:val="single" w:color="000000" w:sz="4" w:space="0"/>
              <w:right w:val="single" w:color="000000" w:sz="4" w:space="0"/>
            </w:tcBorders>
            <w:tcW w:w="1783"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7"/>
            <w:shd w:val="clear" w:color="auto" w:fill="ffffff"/>
            <w:tcBorders>
              <w:top w:val="single" w:color="000000" w:sz="8"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3"/>
            <w:shd w:val="clear" w:color="auto" w:fill="ffffff"/>
            <w:tcBorders>
              <w:top w:val="single" w:color="000000" w:sz="4" w:space="0"/>
              <w:left w:val="single" w:color="000000" w:sz="4" w:space="0"/>
              <w:bottom w:val="single" w:color="000000" w:sz="4" w:space="0"/>
              <w:right w:val="single" w:color="000000" w:sz="8" w:space="0"/>
            </w:tcBorders>
            <w:tcW w:w="1013" w:type="dxa"/>
            <w:vAlign w:val="center"/>
            <w:textDirection w:val="lrTb"/>
            <w:noWrap/>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暂估价</w:t>
            </w:r>
            <w:r/>
          </w:p>
        </w:tc>
      </w:tr>
      <w:tr>
        <w:trPr>
          <w:gridAfter w:val="1"/>
          <w:trHeight w:val="819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填写台                                1、部位：1F违章处理大厅</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2、规格：1000*2000mm</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3、板材说明：（1）国产一线品牌产三聚氰胺饰面，抗弯曲性能及握钉力较强，耐酸碱、耐高温、耐划伤； （2）基材：采用国内优质刨花板颗粒板，优质绿色环保产品； （3）粘合剂：环保乳胶； （4）封边用材：优质PVC胶边，进口热熔胶； （5）家具的款式、颜色由投标人提供实物图片（或效果图）须经建设单位认可；图纸及清单中的家具尺寸仅供参考，一切由</w:t>
            </w:r>
            <w:r>
              <w:rPr>
                <w:rFonts w:hint="eastAsia" w:ascii="宋体" w:hAnsi="宋体" w:cs="宋体"/>
                <w:color w:val="000000" w:themeColor="text1"/>
                <w:sz w:val="18"/>
                <w:szCs w:val="18"/>
                <w:highlight w:val="none"/>
                <w:lang w:eastAsia="zh-CN"/>
              </w:rPr>
              <w:t xml:space="preserve">成交供应商</w:t>
            </w:r>
            <w:r>
              <w:rPr>
                <w:rFonts w:hint="eastAsia" w:ascii="宋体" w:hAnsi="宋体" w:cs="宋体"/>
                <w:color w:val="000000" w:themeColor="text1"/>
                <w:sz w:val="18"/>
                <w:szCs w:val="18"/>
                <w:highlight w:val="none"/>
              </w:rPr>
              <w:t xml:space="preserve">以现场实际放样的尺寸为准、家具定制最终以专业单位深化排版确定后再生产，以符合本次设计要求为标准；（6）家具的板材及油漆必须达到国家规定的甲醛安全释放量监测标准，产品最终满足建设单位使用为准。</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19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调解桌                                1、部位：1F调解室</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2、规格：1200*2800mm</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3、板材说明：（1）国产一线品牌产三聚氰胺饰面，抗弯曲性能及握钉力较强，耐酸碱、耐高温、耐划伤； （2）基材：采用国内优质刨花板颗粒板，优质绿色环保产品； （3）粘合剂：环保乳胶； （4）封边用材：优质PVC胶边，进口热熔胶； （5）家具的款式、颜色由投标人提供实物图片（或效果图）须经建设单位认可；图纸及清单中的家具尺寸仅供参考，一切由</w:t>
            </w:r>
            <w:r>
              <w:rPr>
                <w:rFonts w:hint="eastAsia" w:ascii="宋体" w:hAnsi="宋体" w:cs="宋体"/>
                <w:color w:val="000000" w:themeColor="text1"/>
                <w:sz w:val="18"/>
                <w:szCs w:val="18"/>
                <w:highlight w:val="none"/>
                <w:lang w:eastAsia="zh-CN"/>
              </w:rPr>
              <w:t xml:space="preserve">成交供应商</w:t>
            </w:r>
            <w:r>
              <w:rPr>
                <w:rFonts w:hint="eastAsia" w:ascii="宋体" w:hAnsi="宋体" w:cs="宋体"/>
                <w:color w:val="000000" w:themeColor="text1"/>
                <w:sz w:val="18"/>
                <w:szCs w:val="18"/>
                <w:highlight w:val="none"/>
              </w:rPr>
              <w:t xml:space="preserve">以现场实际放样的尺寸为准、家具定制最终以专业单位深化排版确定后再生产，以符合本次设计要求为标准；（6）家具的板材及油漆必须达到国家规定的甲醛安全释放量监测标准，产品最终满足建设单位使用为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19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011501001003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会议桌                                1、部位：2F荣誉室/党建活动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2、规格：1600*3800mm</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3、板材说明：（1）国产一线品牌产三聚氰胺饰面，抗弯曲性能及握钉力较强，耐酸碱、耐高温、耐划伤； （2）基材：采用国内优质刨花板颗粒板，优质绿色环保产品；（3）粘合剂：环保乳胶； （4）封边用材：优质PVC胶边，进口热熔胶；（5）家具的款式、颜色由投标人提供实物图片（或效果图）须经建设单位认可；图纸及清单中的家具尺寸仅供参考，一切由</w:t>
            </w:r>
            <w:r>
              <w:rPr>
                <w:rFonts w:hint="eastAsia" w:ascii="宋体" w:hAnsi="宋体" w:cs="宋体"/>
                <w:color w:val="000000" w:themeColor="text1"/>
                <w:sz w:val="18"/>
                <w:szCs w:val="18"/>
                <w:highlight w:val="none"/>
                <w:lang w:eastAsia="zh-CN"/>
              </w:rPr>
              <w:t xml:space="preserve">成交供应商</w:t>
            </w:r>
            <w:r>
              <w:rPr>
                <w:rFonts w:hint="eastAsia" w:ascii="宋体" w:hAnsi="宋体" w:cs="宋体"/>
                <w:color w:val="000000" w:themeColor="text1"/>
                <w:sz w:val="18"/>
                <w:szCs w:val="18"/>
                <w:highlight w:val="none"/>
              </w:rPr>
              <w:t xml:space="preserve">以现场实际放样的尺寸为准、家具定制最终以专业单位深化排版确定后再生产，以符合本次设计要求为标准；（6）家具的板材及油漆必须达到国家规定的甲醛安全释放量监测标准，产品最终满足建设单位使用为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19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011501001004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办公桌                                1、部位：违章处理大厅、办公室、综合办公室、备勤室、登记室</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2、规格：满足建设单位要求</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3、板材说明：（1）国产一线品牌产三聚氰胺饰面，抗弯曲性能及握钉力较强，耐酸碱、耐高温、耐划伤； （2）基材：采用国内优质刨花板颗粒板，优质绿色环保产品； （3）粘合剂：环保乳胶； （4）封边用材：优质PVC胶边，进口热熔胶；（5）家具的款式、颜色由投标人提供实物图片（或效果图）须经建设单位认可；图纸及清单中的家具尺寸仅供参考，一切由</w:t>
            </w:r>
            <w:r>
              <w:rPr>
                <w:rFonts w:hint="eastAsia" w:ascii="宋体" w:hAnsi="宋体" w:cs="宋体"/>
                <w:color w:val="000000" w:themeColor="text1"/>
                <w:sz w:val="18"/>
                <w:szCs w:val="18"/>
                <w:highlight w:val="none"/>
                <w:lang w:eastAsia="zh-CN"/>
              </w:rPr>
              <w:t xml:space="preserve">成交供应商</w:t>
            </w:r>
            <w:r>
              <w:rPr>
                <w:rFonts w:hint="eastAsia" w:ascii="宋体" w:hAnsi="宋体" w:cs="宋体"/>
                <w:color w:val="000000" w:themeColor="text1"/>
                <w:sz w:val="18"/>
                <w:szCs w:val="18"/>
                <w:highlight w:val="none"/>
              </w:rPr>
              <w:t xml:space="preserve">以现场实际放样的尺寸为准、家具定制最终以专业单位深化排版确定后再生产，以符合本次设计要求为标准；（6）家具的板材及油漆必须达到国家规定的甲醛安全释放量监测标准，产品最终满足建设单位使用为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78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011501001005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钢木混合指挥桌                        1、部位：1F勤务指挥中心</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2、规格：1200*2800mm指挥席</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材质说明：（1）台面采用25mm厚三胺板，侧板为三胺板，柜体采用0.8-1.2mm优质冷轧钢板（整装），操作台台面屏风挡板采用优质铝合金型材板一次冲压而成，表面进行美工处理。（2）家具的款式、颜色由投标人提供实物图片（或效果图）须经建设单位认可；图纸及清单中的家具尺寸仅供参考，一切由</w:t>
            </w:r>
            <w:r>
              <w:rPr>
                <w:rFonts w:hint="eastAsia" w:ascii="宋体" w:hAnsi="宋体" w:cs="宋体"/>
                <w:color w:val="000000" w:themeColor="text1"/>
                <w:sz w:val="18"/>
                <w:szCs w:val="18"/>
                <w:highlight w:val="none"/>
                <w:lang w:eastAsia="zh-CN"/>
              </w:rPr>
              <w:t xml:space="preserve">成交供应商</w:t>
            </w:r>
            <w:r>
              <w:rPr>
                <w:rFonts w:hint="eastAsia" w:ascii="宋体" w:hAnsi="宋体" w:cs="宋体"/>
                <w:color w:val="000000" w:themeColor="text1"/>
                <w:sz w:val="18"/>
                <w:szCs w:val="18"/>
                <w:highlight w:val="none"/>
              </w:rPr>
              <w:t xml:space="preserve">以现场实际放样的尺寸为准、家具定制最终以专业单位深化排版确定后再生产，以符合本次设计要求为标准；（3）家具的板材及油漆必须达到国家规定的甲醛安全释放量监测标准，产品最终满足建设单位使用为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78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011501001006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钢木混合指挥桌                        1、部位：1F勤务指挥中心</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2、规格：800*2400mm工位台</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材质说明：（1）台面采用25mm厚三胺板，侧板为三胺板，柜体采用0.8-1.2mm优质冷轧钢板（整装），操作台台面屏风挡板采用优质铝合金型材板一次冲压而成，表面进行美工处理。（2）家具的款式、颜色由投标人提供实物图片（或效果图）须经建设单位认可；图纸及清单中的家具尺寸仅供参考，一切由</w:t>
            </w:r>
            <w:r>
              <w:rPr>
                <w:rFonts w:hint="eastAsia" w:ascii="宋体" w:hAnsi="宋体" w:cs="宋体"/>
                <w:color w:val="000000" w:themeColor="text1"/>
                <w:sz w:val="18"/>
                <w:szCs w:val="18"/>
                <w:highlight w:val="none"/>
                <w:lang w:eastAsia="zh-CN"/>
              </w:rPr>
              <w:t xml:space="preserve">成交供应商</w:t>
            </w:r>
            <w:r>
              <w:rPr>
                <w:rFonts w:hint="eastAsia" w:ascii="宋体" w:hAnsi="宋体" w:cs="宋体"/>
                <w:color w:val="000000" w:themeColor="text1"/>
                <w:sz w:val="18"/>
                <w:szCs w:val="18"/>
                <w:highlight w:val="none"/>
              </w:rPr>
              <w:t xml:space="preserve">以现场实际放样的尺寸为准、家具定制最终以专业单位深化排版确定后再生产，以符合本次设计要求为标准； （4）家具的板材及油漆必须达到国家规定的甲醛安全释放量监测标准，产品最终满足建设单位使用为准。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26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011501001007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办公椅1                               1、工字椅：</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2、部位：1F：违章处理大厅、调解室、备勤室、装备室、办公室、登记室、信息采集室、讯问室；2F:党建活动室；</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3、材质说明：高级行政会客网椅（会客椅）、黑色全新料加纤背框，扪华宇透气网布；黑色PP固定腰靠；黑色PP连体连体扶手；45高密度纯绵坐垫，扪华宇透气网布；2.0mm厚度的A3钢材喷黑弓形架；</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4、款式、颜色、样式须经建设单位认可。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4547"/>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011501001008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办公椅2                               1、转椅（可升降）：</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2、部位：2F：综合办公室、办公室（1—3）；</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材质说明：高级行政会客网椅（会客椅）；黑色全新料加纤背框，扪华宇透气网布；黑色PP固定腰靠；黑色PP连体连体扶手；45高密度纯绵坐垫，扪华宇透气网布；2.0mm厚度的A3钢材喷黑弓形架；50mm尼龙+PU静音脚轮；</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4、款式、颜色、样式须经建设单位认可。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73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011501001009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办公椅3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1、转椅（带可升降配带头枕）</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2、部位：2F：勤务指挥中心</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材质说明：高背升降办公椅；带可升降头枕；黑色全新料加纤背框，扪华宇透气网布；黑色PP固定腰靠；黑色PP连体连体扶手；45高密度纯绵坐垫，扪华宇透气网布；2.5mm原位锁定蝴蝶底盘，可倾仰；三级SGS认证气杆，100mm缩50mm；310mm黑色锥形脚，静压1000KG；50mm尼龙+PU静音脚轮；</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4、款式、颜色、样式须经建设单位认可。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760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011501001010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办公椅4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1、多人联体等待椅</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2、部位：1F：违章处理大厅</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材质说明：多人联体座椅；不锈钢金属框架，不锈钢拉伸成型横梁（厚度≥3.0mm）、八角形钢管、防锈处理后静电喷漆，表面光滑耐磨；横梁：六边形或八角形设计，增强承重力；扶手：金属压铸成型，封闭式结构；脚垫：金属压铸“人”字形站脚，附防滑橡塑垫 ；坐垫及椅面：自结皮聚氨酯（PU）发泡一体模塑，厚度≥30mm，内置高密度海绵及钢骨架，可承重≥150kg，环保防水，耐腐蚀、抗磨；分体式设计，圆滑无锐角，清洁无需清洁剂；</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4、款式、颜色、样式须经建设单位认可。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760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011501001011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沙发/茶几                            1、部位：2F：办公室1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2、规格：沙发尺寸900*2200mm,茶几尺寸850*1300mm</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材质说明：（1）面料:选用高级超纤皮,经液态浸色及防潮、防污等工艺处理、皮面更加柔软舒适、光泽持久性好，纹理细腻，富有弹性；（2）不锈钢金属框架，不锈钢拉伸成型横梁（厚度≥3.0mm）、内置钢管防锈处理后静电喷漆，表面光滑耐磨； （3）海绵:高密度海绵高回弹海绵,表面有一层保护面,可防氧化,防碎； （4）茶几台面为10mm厚黑色烤漆钢化玻璃，四周金属不锈钢线条包边处理；（5）工艺：采用人体工学设计，体验感舒适；</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4、款式、颜色、样式须经建设单位认可。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456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011501001012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床+床垫</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1、规格：床垫尺寸1200*2000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板材说明：（1）国产一线品牌产三聚氰胺饰面，抗弯曲性能及握钉力较强，耐酸碱、耐高温、耐划伤；（2）基材：采用国内优质刨花板颗粒板，优质绿色环保产品；（3）粘合剂：环保乳胶；（4）封边用材：优质PVC胶边，进口热熔胶； </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3、款式、颜色、样式须经建设单位认可。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4547"/>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011501001013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床+床垫</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1、规格：床垫尺寸1500*2000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2、板材说明：（1）国产一线品牌产三聚氰胺饰面，抗弯曲性能及握钉力较强，耐酸碱、耐高温、耐划伤； （2）基材：采用国内优质刨花板颗粒板，优质绿色环保产品； （3）粘合剂：环保乳胶；（4）封边用材：优质PVC胶边，进口热熔胶； </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3、款式、颜色、样式须经建设单位认可。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456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011501001014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床头柜</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1、规格：尺寸450*550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2、板材说明：（1）国产一线品牌产三聚氰胺饰面，抗弯曲性能及握钉力较强，耐酸碱、耐高温、耐划伤； （2）基材：采用国内优质刨花板颗粒板，优质绿色环保产品； （3）粘合剂：环保乳胶；（4）封边用材：优质PVC胶边，进口热熔胶； </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3、款式、颜色、样式须经建设单位认可。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张</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72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011501001015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餐桌</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1、φ1800mm木质圆桌（含底座+桌面+玻璃转盘）</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2、板材说明：（1）材质为实木（胡桃木或橡木）； （2）材质质地坚硬、纹理清晰，耐磨耐腐蚀处理，各项技术指标按国际标准；（3）环保聚酯漆饰面，全封闭涂装，漆面光泽度高，无颗粒、无气泡、无渣点，颜色均匀，桌边直角弧形处理；（4）结构牢固、经久耐用、使用寿命长、符合人体工程学原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3、款式、颜色、样式须经建设单位认可。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张</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0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011501001016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桌餐桌椅</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1、木质餐椅；</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2、板材说明：（1）材质为实木（胡桃木或橡木）； （2）材质质地坚硬、纹理清晰，耐磨耐腐蚀处理，各项技术指标按国际标准； （3）环保聚酯漆饰面，五底三面，全封闭涂装，漆面光泽度高，无颗粒、无气泡、无渣点，颜色均匀，桌边直角弧形处理； （4）结构牢固、经久耐用、使用寿命长、符合人体工程学原理；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3、款式、颜色、样式须经建设单位认可。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张</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分部分项工程清单合计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3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单价措施项目清单合计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456"/>
        </w:trPr>
        <w:tc>
          <w:tcPr>
            <w:gridSpan w:val="24"/>
            <w:shd w:val="clear" w:color="auto" w:fill="auto"/>
            <w:tcBorders>
              <w:top w:val="single" w:color="000000" w:sz="4" w:space="0"/>
              <w:left w:val="single" w:color="000000" w:sz="8" w:space="0"/>
              <w:bottom w:val="single" w:color="000000" w:sz="8" w:space="0"/>
              <w:right w:val="single" w:color="000000" w:sz="4" w:space="0"/>
            </w:tcBorders>
            <w:tcW w:w="77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合    计</w:t>
            </w:r>
            <w:r/>
          </w:p>
        </w:tc>
        <w:tc>
          <w:tcPr>
            <w:gridSpan w:val="6"/>
            <w:shd w:val="clear" w:color="auto" w:fill="auto"/>
            <w:tcBorders>
              <w:top w:val="single" w:color="000000" w:sz="4" w:space="0"/>
              <w:left w:val="single" w:color="000000" w:sz="4" w:space="0"/>
              <w:bottom w:val="single" w:color="000000" w:sz="8"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691"/>
        </w:trPr>
        <w:tc>
          <w:tcPr>
            <w:gridSpan w:val="33"/>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val="false"/>
          </w:tcPr>
          <w:p>
            <w:pPr>
              <w:jc w:val="center"/>
              <w:widowControl/>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p>
          <w:p>
            <w:pPr>
              <w:jc w:val="center"/>
              <w:widowControl/>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p>
          <w:p>
            <w:pPr>
              <w:jc w:val="center"/>
              <w:widowControl/>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p>
          <w:p>
            <w:pPr>
              <w:jc w:val="center"/>
              <w:widowControl/>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p>
          <w:p>
            <w:pPr>
              <w:jc w:val="center"/>
              <w:widowControl/>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总价措施项目清单与计价表</w:t>
            </w:r>
            <w:r/>
          </w:p>
        </w:tc>
      </w:tr>
      <w:tr>
        <w:trPr>
          <w:gridAfter w:val="1"/>
          <w:trHeight w:val="353"/>
        </w:trPr>
        <w:tc>
          <w:tcPr>
            <w:gridSpan w:val="14"/>
            <w:shd w:val="clear" w:color="auto" w:fill="auto"/>
            <w:tcBorders>
              <w:top w:val="none" w:color="000000" w:sz="4" w:space="0"/>
              <w:left w:val="none" w:color="000000" w:sz="4" w:space="0"/>
              <w:bottom w:val="single" w:color="000000" w:sz="8" w:space="0"/>
              <w:right w:val="none" w:color="000000" w:sz="4" w:space="0"/>
            </w:tcBorders>
            <w:tcW w:w="5731"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工程名称：家具工程</w:t>
            </w:r>
            <w:r/>
          </w:p>
        </w:tc>
        <w:tc>
          <w:tcPr>
            <w:gridSpan w:val="7"/>
            <w:shd w:val="clear" w:color="auto" w:fill="auto"/>
            <w:tcBorders>
              <w:top w:val="none" w:color="000000" w:sz="4" w:space="0"/>
              <w:left w:val="none" w:color="000000" w:sz="4" w:space="0"/>
              <w:bottom w:val="single" w:color="000000" w:sz="8" w:space="0"/>
              <w:right w:val="none" w:color="000000" w:sz="4" w:space="0"/>
            </w:tcBorders>
            <w:tcW w:w="1162"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标段：</w:t>
            </w:r>
            <w:r/>
          </w:p>
        </w:tc>
        <w:tc>
          <w:tcPr>
            <w:gridSpan w:val="12"/>
            <w:shd w:val="clear" w:color="auto" w:fill="auto"/>
            <w:tcBorders>
              <w:top w:val="none" w:color="000000" w:sz="4" w:space="0"/>
              <w:left w:val="none" w:color="000000" w:sz="4" w:space="0"/>
              <w:bottom w:val="single" w:color="000000" w:sz="8" w:space="0"/>
              <w:right w:val="none" w:color="000000" w:sz="4" w:space="0"/>
            </w:tcBorders>
            <w:tcW w:w="2945" w:type="dxa"/>
            <w:vAlign w:val="center"/>
            <w:textDirection w:val="lrTb"/>
            <w:noWrap w:val="false"/>
          </w:tcPr>
          <w:p>
            <w:pPr>
              <w:jc w:val="righ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第1页 共2页</w:t>
            </w:r>
            <w:r/>
          </w:p>
        </w:tc>
      </w:tr>
      <w:tr>
        <w:trPr>
          <w:gridAfter w:val="1"/>
          <w:trHeight w:val="809"/>
        </w:trPr>
        <w:tc>
          <w:tcPr>
            <w:gridSpan w:val="2"/>
            <w:shd w:val="clear" w:color="auto" w:fill="ffffff"/>
            <w:tcBorders>
              <w:top w:val="single" w:color="000000" w:sz="8"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序号</w:t>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1324"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项目编码</w:t>
            </w:r>
            <w:r/>
          </w:p>
        </w:tc>
        <w:tc>
          <w:tcPr>
            <w:gridSpan w:val="4"/>
            <w:shd w:val="clear" w:color="auto" w:fill="ffffff"/>
            <w:tcBorders>
              <w:top w:val="single" w:color="000000" w:sz="8"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项目名称</w:t>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161"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计算基础</w:t>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费率（%）</w:t>
            </w:r>
            <w:r/>
          </w:p>
        </w:tc>
        <w:tc>
          <w:tcPr>
            <w:gridSpan w:val="7"/>
            <w:shd w:val="clear" w:color="auto" w:fill="ffffff"/>
            <w:tcBorders>
              <w:top w:val="single" w:color="000000" w:sz="8"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金额（元）</w:t>
            </w:r>
            <w:r/>
          </w:p>
        </w:tc>
        <w:tc>
          <w:tcPr>
            <w:gridSpan w:val="7"/>
            <w:shd w:val="clear" w:color="auto" w:fill="ffffff"/>
            <w:tcBorders>
              <w:top w:val="single" w:color="000000" w:sz="8" w:space="0"/>
              <w:left w:val="single" w:color="000000" w:sz="4" w:space="0"/>
              <w:bottom w:val="single" w:color="000000" w:sz="4" w:space="0"/>
              <w:right w:val="single" w:color="000000" w:sz="4" w:space="0"/>
            </w:tcBorders>
            <w:tcW w:w="919"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调整</w:t>
            </w:r>
            <w:r>
              <w:rPr>
                <w:rFonts w:hint="eastAsia" w:ascii="黑体" w:hAnsi="宋体" w:eastAsia="黑体" w:cs="黑体"/>
                <w:b/>
                <w:bCs/>
                <w:color w:val="000000" w:themeColor="text1"/>
                <w:sz w:val="18"/>
                <w:szCs w:val="18"/>
                <w:highlight w:val="none"/>
              </w:rPr>
              <w:br/>
            </w:r>
            <w:r>
              <w:rPr>
                <w:rFonts w:hint="eastAsia" w:ascii="黑体" w:hAnsi="宋体" w:eastAsia="黑体" w:cs="黑体"/>
                <w:b/>
                <w:bCs/>
                <w:color w:val="000000" w:themeColor="text1"/>
                <w:sz w:val="18"/>
                <w:szCs w:val="18"/>
                <w:highlight w:val="none"/>
              </w:rPr>
              <w:t xml:space="preserve">费率（%）</w:t>
            </w:r>
            <w:r/>
          </w:p>
        </w:tc>
        <w:tc>
          <w:tcPr>
            <w:gridSpan w:val="4"/>
            <w:shd w:val="clear" w:color="auto" w:fill="ffffff"/>
            <w:tcBorders>
              <w:top w:val="single" w:color="000000" w:sz="8" w:space="0"/>
              <w:left w:val="single" w:color="000000" w:sz="4" w:space="0"/>
              <w:bottom w:val="single" w:color="000000" w:sz="4" w:space="0"/>
              <w:right w:val="single" w:color="000000" w:sz="4" w:space="0"/>
            </w:tcBorders>
            <w:tcW w:w="1161"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调整后</w:t>
            </w:r>
            <w:r>
              <w:rPr>
                <w:rFonts w:hint="eastAsia" w:ascii="黑体" w:hAnsi="宋体" w:eastAsia="黑体" w:cs="黑体"/>
                <w:b/>
                <w:bCs/>
                <w:color w:val="000000" w:themeColor="text1"/>
                <w:sz w:val="18"/>
                <w:szCs w:val="18"/>
                <w:highlight w:val="none"/>
              </w:rPr>
              <w:br/>
            </w:r>
            <w:r>
              <w:rPr>
                <w:rFonts w:hint="eastAsia" w:ascii="黑体" w:hAnsi="宋体" w:eastAsia="黑体" w:cs="黑体"/>
                <w:b/>
                <w:bCs/>
                <w:color w:val="000000" w:themeColor="text1"/>
                <w:sz w:val="18"/>
                <w:szCs w:val="18"/>
                <w:highlight w:val="none"/>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865"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备注</w:t>
            </w:r>
            <w:r/>
          </w:p>
        </w:tc>
      </w:tr>
      <w:tr>
        <w:trPr>
          <w:gridAfter w:val="1"/>
          <w:trHeight w:val="338"/>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011707001001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现场安全文明施工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80"/>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基本费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分部分项工程费+单价措施项目费-除税工程设备费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65"/>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标化增加费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分部分项工程费+单价措施项目费-除税工程设备费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80"/>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扬尘污染防治增加费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分部分项工程费+单价措施项目费-除税工程设备费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80"/>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011707010001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工程按质论价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分部分项工程费+单价措施项目费-除税工程设备费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38"/>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011707002001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夜间施工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011707004001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二次搬运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011707005001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冬雨季施工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794"/>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011707006001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地上、地下设施、建筑物的临时保护设施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011707007001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已完工程及设备保护费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011707008001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临时设施费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011707009001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赶工措施费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01B001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特殊条件下施工增加费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011707003001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非夜间施工照明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38"/>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011707011001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住宅工程分户验收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gridSpan w:val="2"/>
            <w:shd w:val="clear" w:color="auto" w:fill="auto"/>
            <w:tcBorders>
              <w:top w:val="single" w:color="000000" w:sz="4" w:space="0"/>
              <w:left w:val="single" w:color="000000" w:sz="8" w:space="0"/>
              <w:bottom w:val="single" w:color="000000" w:sz="8"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w:t>
            </w:r>
            <w:r/>
          </w:p>
        </w:tc>
        <w:tc>
          <w:tcPr>
            <w:gridSpan w:val="3"/>
            <w:shd w:val="clear" w:color="auto" w:fill="auto"/>
            <w:tcBorders>
              <w:top w:val="single" w:color="000000" w:sz="4" w:space="0"/>
              <w:left w:val="single" w:color="000000" w:sz="4" w:space="0"/>
              <w:bottom w:val="single" w:color="000000" w:sz="8"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011707012001</w:t>
            </w:r>
            <w:r/>
          </w:p>
        </w:tc>
        <w:tc>
          <w:tcPr>
            <w:gridSpan w:val="4"/>
            <w:shd w:val="clear" w:color="auto" w:fill="auto"/>
            <w:tcBorders>
              <w:top w:val="single" w:color="000000" w:sz="4" w:space="0"/>
              <w:left w:val="single" w:color="000000" w:sz="4" w:space="0"/>
              <w:bottom w:val="single" w:color="000000" w:sz="8"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建筑工人实名制费用</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161"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8"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8"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8"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8"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8"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841"/>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011707015001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智慧工地费用</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现场安全隐患排查、人员信息动态管理、扬尘管控视频监控、高处作业防护预警、危大工程监测预警和集成平台等设备、软件和管理费用。</w:t>
            </w:r>
            <w:r/>
          </w:p>
        </w:tc>
      </w:tr>
      <w:tr>
        <w:trPr>
          <w:gridAfter w:val="1"/>
          <w:trHeight w:val="456"/>
        </w:trPr>
        <w:tc>
          <w:tcPr>
            <w:gridSpan w:val="16"/>
            <w:shd w:val="clear" w:color="auto" w:fill="auto"/>
            <w:tcBorders>
              <w:top w:val="single" w:color="000000" w:sz="4" w:space="0"/>
              <w:left w:val="single" w:color="000000" w:sz="8" w:space="0"/>
              <w:bottom w:val="single" w:color="000000" w:sz="8" w:space="0"/>
              <w:right w:val="single" w:color="000000" w:sz="4" w:space="0"/>
            </w:tcBorders>
            <w:tcW w:w="598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合   计</w:t>
            </w:r>
            <w:r/>
          </w:p>
        </w:tc>
        <w:tc>
          <w:tcPr>
            <w:gridSpan w:val="5"/>
            <w:shd w:val="clear" w:color="auto" w:fill="auto"/>
            <w:tcBorders>
              <w:top w:val="single" w:color="000000" w:sz="4" w:space="0"/>
              <w:left w:val="single" w:color="000000" w:sz="4" w:space="0"/>
              <w:bottom w:val="single" w:color="000000" w:sz="8" w:space="0"/>
              <w:right w:val="single" w:color="000000" w:sz="4" w:space="0"/>
            </w:tcBorders>
            <w:tcW w:w="90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8"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8"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8"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691"/>
        </w:trPr>
        <w:tc>
          <w:tcPr>
            <w:gridSpan w:val="33"/>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val="false"/>
          </w:tcPr>
          <w:p>
            <w:pPr>
              <w:jc w:val="center"/>
              <w:widowControl/>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其他项目清单与计价汇总表</w:t>
            </w:r>
            <w:r/>
          </w:p>
        </w:tc>
      </w:tr>
      <w:tr>
        <w:trPr>
          <w:gridAfter w:val="1"/>
          <w:trHeight w:val="353"/>
        </w:trPr>
        <w:tc>
          <w:tcPr>
            <w:gridSpan w:val="18"/>
            <w:shd w:val="clear" w:color="auto" w:fill="auto"/>
            <w:tcBorders>
              <w:top w:val="none" w:color="000000" w:sz="4" w:space="0"/>
              <w:left w:val="none" w:color="000000" w:sz="4" w:space="0"/>
              <w:bottom w:val="single" w:color="000000" w:sz="8" w:space="0"/>
              <w:right w:val="none" w:color="000000" w:sz="4" w:space="0"/>
            </w:tcBorders>
            <w:tcW w:w="6118"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工程名称：家具工程</w:t>
            </w:r>
            <w:r/>
          </w:p>
        </w:tc>
        <w:tc>
          <w:tcPr>
            <w:gridSpan w:val="9"/>
            <w:shd w:val="clear" w:color="auto" w:fill="auto"/>
            <w:tcBorders>
              <w:top w:val="none" w:color="000000" w:sz="4" w:space="0"/>
              <w:left w:val="none" w:color="000000" w:sz="4" w:space="0"/>
              <w:bottom w:val="single" w:color="000000" w:sz="8" w:space="0"/>
              <w:right w:val="none" w:color="000000" w:sz="4" w:space="0"/>
            </w:tcBorders>
            <w:tcW w:w="1663"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标段：</w:t>
            </w:r>
            <w:r/>
          </w:p>
        </w:tc>
        <w:tc>
          <w:tcPr>
            <w:gridSpan w:val="6"/>
            <w:shd w:val="clear" w:color="auto" w:fill="auto"/>
            <w:tcBorders>
              <w:top w:val="none" w:color="000000" w:sz="4" w:space="0"/>
              <w:left w:val="none" w:color="000000" w:sz="4" w:space="0"/>
              <w:bottom w:val="single" w:color="000000" w:sz="8" w:space="0"/>
              <w:right w:val="none" w:color="000000" w:sz="4" w:space="0"/>
            </w:tcBorders>
            <w:tcW w:w="2057" w:type="dxa"/>
            <w:vAlign w:val="center"/>
            <w:textDirection w:val="lrTb"/>
            <w:noWrap w:val="false"/>
          </w:tcPr>
          <w:p>
            <w:pPr>
              <w:jc w:val="righ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第1页 共1页</w:t>
            </w:r>
            <w:r/>
          </w:p>
        </w:tc>
      </w:tr>
      <w:tr>
        <w:trPr>
          <w:gridAfter w:val="1"/>
          <w:trHeight w:val="338"/>
        </w:trPr>
        <w:tc>
          <w:tcPr>
            <w:gridSpan w:val="4"/>
            <w:shd w:val="clear" w:color="auto" w:fill="ffffff"/>
            <w:tcBorders>
              <w:top w:val="single" w:color="000000" w:sz="8" w:space="0"/>
              <w:left w:val="single" w:color="000000" w:sz="8" w:space="0"/>
              <w:bottom w:val="single" w:color="000000" w:sz="4" w:space="0"/>
              <w:right w:val="single" w:color="000000" w:sz="4" w:space="0"/>
            </w:tcBorders>
            <w:tcW w:w="1161"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序号</w:t>
            </w:r>
            <w:r/>
          </w:p>
        </w:tc>
        <w:tc>
          <w:tcPr>
            <w:gridSpan w:val="6"/>
            <w:shd w:val="clear" w:color="auto" w:fill="ffffff"/>
            <w:tcBorders>
              <w:top w:val="single" w:color="000000" w:sz="8" w:space="0"/>
              <w:left w:val="single" w:color="000000" w:sz="4" w:space="0"/>
              <w:bottom w:val="single" w:color="000000" w:sz="4" w:space="0"/>
              <w:right w:val="single" w:color="000000" w:sz="4" w:space="0"/>
            </w:tcBorders>
            <w:tcW w:w="3309"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项目名称</w:t>
            </w:r>
            <w:r/>
          </w:p>
        </w:tc>
        <w:tc>
          <w:tcPr>
            <w:gridSpan w:val="8"/>
            <w:shd w:val="clear" w:color="auto" w:fill="ffffff"/>
            <w:tcBorders>
              <w:top w:val="single" w:color="000000" w:sz="8" w:space="0"/>
              <w:left w:val="single" w:color="000000" w:sz="4" w:space="0"/>
              <w:bottom w:val="single" w:color="000000" w:sz="4" w:space="0"/>
              <w:right w:val="single" w:color="000000" w:sz="4" w:space="0"/>
            </w:tcBorders>
            <w:tcW w:w="1648"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金额(元)</w:t>
            </w:r>
            <w:r/>
          </w:p>
        </w:tc>
        <w:tc>
          <w:tcPr>
            <w:gridSpan w:val="9"/>
            <w:shd w:val="clear" w:color="auto" w:fill="ffffff"/>
            <w:tcBorders>
              <w:top w:val="single" w:color="000000" w:sz="8" w:space="0"/>
              <w:left w:val="single" w:color="000000" w:sz="4" w:space="0"/>
              <w:bottom w:val="single" w:color="000000" w:sz="4" w:space="0"/>
              <w:right w:val="single" w:color="000000" w:sz="4" w:space="0"/>
            </w:tcBorders>
            <w:tcW w:w="1663"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结算金额(元)</w:t>
            </w:r>
            <w:r/>
          </w:p>
        </w:tc>
        <w:tc>
          <w:tcPr>
            <w:gridSpan w:val="6"/>
            <w:shd w:val="clear" w:color="auto" w:fill="ffffff"/>
            <w:tcBorders>
              <w:top w:val="single" w:color="000000" w:sz="8" w:space="0"/>
              <w:left w:val="single" w:color="000000" w:sz="4" w:space="0"/>
              <w:bottom w:val="single" w:color="000000" w:sz="4" w:space="0"/>
              <w:right w:val="single" w:color="000000" w:sz="8" w:space="0"/>
            </w:tcBorders>
            <w:tcW w:w="2057"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备注</w:t>
            </w:r>
            <w:r/>
          </w:p>
        </w:tc>
      </w:tr>
      <w:tr>
        <w:trPr>
          <w:gridAfter w:val="1"/>
          <w:trHeight w:val="353"/>
        </w:trPr>
        <w:tc>
          <w:tcPr>
            <w:gridSpan w:val="4"/>
            <w:shd w:val="clear" w:color="auto" w:fill="auto"/>
            <w:tcBorders>
              <w:top w:val="single" w:color="000000" w:sz="4" w:space="0"/>
              <w:left w:val="single" w:color="000000" w:sz="8" w:space="0"/>
              <w:bottom w:val="single" w:color="000000" w:sz="4" w:space="0"/>
              <w:right w:val="single" w:color="000000" w:sz="4" w:space="0"/>
            </w:tcBorders>
            <w:tcW w:w="11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暂列金额</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8" w:space="0"/>
            </w:tcBorders>
            <w:tcW w:w="2057"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4"/>
            <w:shd w:val="clear" w:color="auto" w:fill="auto"/>
            <w:tcBorders>
              <w:top w:val="single" w:color="000000" w:sz="4" w:space="0"/>
              <w:left w:val="single" w:color="000000" w:sz="8" w:space="0"/>
              <w:bottom w:val="single" w:color="000000" w:sz="4" w:space="0"/>
              <w:right w:val="single" w:color="000000" w:sz="4" w:space="0"/>
            </w:tcBorders>
            <w:tcW w:w="11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暂估价</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8" w:space="0"/>
            </w:tcBorders>
            <w:tcW w:w="2057"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38"/>
        </w:trPr>
        <w:tc>
          <w:tcPr>
            <w:gridSpan w:val="4"/>
            <w:shd w:val="clear" w:color="auto" w:fill="auto"/>
            <w:tcBorders>
              <w:top w:val="single" w:color="000000" w:sz="4" w:space="0"/>
              <w:left w:val="single" w:color="000000" w:sz="8" w:space="0"/>
              <w:bottom w:val="single" w:color="000000" w:sz="4" w:space="0"/>
              <w:right w:val="single" w:color="000000" w:sz="4" w:space="0"/>
            </w:tcBorders>
            <w:tcW w:w="11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2.1</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材料暂估价</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8" w:space="0"/>
            </w:tcBorders>
            <w:tcW w:w="2057"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4"/>
            <w:shd w:val="clear" w:color="auto" w:fill="auto"/>
            <w:tcBorders>
              <w:top w:val="single" w:color="000000" w:sz="4" w:space="0"/>
              <w:left w:val="single" w:color="000000" w:sz="8" w:space="0"/>
              <w:bottom w:val="single" w:color="000000" w:sz="4" w:space="0"/>
              <w:right w:val="single" w:color="000000" w:sz="4" w:space="0"/>
            </w:tcBorders>
            <w:tcW w:w="11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2.2</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专业工程暂估价</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8" w:space="0"/>
            </w:tcBorders>
            <w:tcW w:w="2057"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4"/>
            <w:shd w:val="clear" w:color="auto" w:fill="auto"/>
            <w:tcBorders>
              <w:top w:val="single" w:color="000000" w:sz="4" w:space="0"/>
              <w:left w:val="single" w:color="000000" w:sz="8" w:space="0"/>
              <w:bottom w:val="single" w:color="000000" w:sz="4" w:space="0"/>
              <w:right w:val="single" w:color="000000" w:sz="4" w:space="0"/>
            </w:tcBorders>
            <w:tcW w:w="11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计日工</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8" w:space="0"/>
            </w:tcBorders>
            <w:tcW w:w="2057"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38"/>
        </w:trPr>
        <w:tc>
          <w:tcPr>
            <w:gridSpan w:val="4"/>
            <w:shd w:val="clear" w:color="auto" w:fill="auto"/>
            <w:tcBorders>
              <w:top w:val="single" w:color="000000" w:sz="4" w:space="0"/>
              <w:left w:val="single" w:color="000000" w:sz="8" w:space="0"/>
              <w:bottom w:val="single" w:color="000000" w:sz="4" w:space="0"/>
              <w:right w:val="single" w:color="000000" w:sz="4" w:space="0"/>
            </w:tcBorders>
            <w:tcW w:w="11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总承包服务费</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8" w:space="0"/>
            </w:tcBorders>
            <w:tcW w:w="2057"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441"/>
        </w:trPr>
        <w:tc>
          <w:tcPr>
            <w:gridSpan w:val="10"/>
            <w:shd w:val="clear" w:color="auto" w:fill="auto"/>
            <w:tcBorders>
              <w:top w:val="single" w:color="000000" w:sz="4" w:space="0"/>
              <w:left w:val="single" w:color="000000" w:sz="8" w:space="0"/>
              <w:bottom w:val="single" w:color="000000" w:sz="8" w:space="0"/>
              <w:right w:val="single" w:color="000000" w:sz="4" w:space="0"/>
            </w:tcBorders>
            <w:tcW w:w="447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合  计</w:t>
            </w:r>
            <w:r/>
          </w:p>
        </w:tc>
        <w:tc>
          <w:tcPr>
            <w:gridSpan w:val="8"/>
            <w:shd w:val="clear" w:color="auto" w:fill="auto"/>
            <w:tcBorders>
              <w:top w:val="single" w:color="000000" w:sz="4" w:space="0"/>
              <w:left w:val="single" w:color="000000" w:sz="4" w:space="0"/>
              <w:bottom w:val="single" w:color="000000" w:sz="8" w:space="0"/>
              <w:right w:val="single" w:color="000000" w:sz="4" w:space="0"/>
            </w:tcBorders>
            <w:tcW w:w="164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9"/>
            <w:shd w:val="clear" w:color="auto" w:fill="auto"/>
            <w:tcBorders>
              <w:top w:val="single" w:color="000000" w:sz="4" w:space="0"/>
              <w:left w:val="single" w:color="000000" w:sz="4" w:space="0"/>
              <w:bottom w:val="single" w:color="000000" w:sz="8" w:space="0"/>
              <w:right w:val="single" w:color="000000" w:sz="4" w:space="0"/>
            </w:tcBorders>
            <w:tcW w:w="166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8" w:space="0"/>
              <w:right w:val="single" w:color="000000" w:sz="8" w:space="0"/>
            </w:tcBorders>
            <w:tcW w:w="2057"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691"/>
        </w:trPr>
        <w:tc>
          <w:tcPr>
            <w:gridSpan w:val="33"/>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val="false"/>
          </w:tcPr>
          <w:p>
            <w:pPr>
              <w:jc w:val="center"/>
              <w:widowControl/>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规费、税金项目计价表</w:t>
            </w:r>
            <w:r/>
          </w:p>
        </w:tc>
      </w:tr>
      <w:tr>
        <w:trPr>
          <w:gridAfter w:val="1"/>
          <w:trHeight w:val="353"/>
        </w:trPr>
        <w:tc>
          <w:tcPr>
            <w:gridSpan w:val="17"/>
            <w:shd w:val="clear" w:color="auto" w:fill="auto"/>
            <w:tcBorders>
              <w:top w:val="none" w:color="000000" w:sz="4" w:space="0"/>
              <w:left w:val="none" w:color="000000" w:sz="4" w:space="0"/>
              <w:bottom w:val="single" w:color="000000" w:sz="8" w:space="0"/>
              <w:right w:val="none" w:color="000000" w:sz="4" w:space="0"/>
            </w:tcBorders>
            <w:tcW w:w="6053"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工程名称：家具工程</w:t>
            </w:r>
            <w:r/>
          </w:p>
        </w:tc>
        <w:tc>
          <w:tcPr>
            <w:gridSpan w:val="6"/>
            <w:shd w:val="clear" w:color="auto" w:fill="auto"/>
            <w:tcBorders>
              <w:top w:val="none" w:color="000000" w:sz="4" w:space="0"/>
              <w:left w:val="none" w:color="000000" w:sz="4" w:space="0"/>
              <w:bottom w:val="single" w:color="000000" w:sz="8" w:space="0"/>
              <w:right w:val="none" w:color="000000" w:sz="4" w:space="0"/>
            </w:tcBorders>
            <w:tcW w:w="1541"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标段：</w:t>
            </w:r>
            <w:r/>
          </w:p>
        </w:tc>
        <w:tc>
          <w:tcPr>
            <w:gridSpan w:val="10"/>
            <w:shd w:val="clear" w:color="auto" w:fill="auto"/>
            <w:tcBorders>
              <w:top w:val="none" w:color="000000" w:sz="4" w:space="0"/>
              <w:left w:val="none" w:color="000000" w:sz="4" w:space="0"/>
              <w:bottom w:val="single" w:color="000000" w:sz="8" w:space="0"/>
              <w:right w:val="none" w:color="000000" w:sz="4" w:space="0"/>
            </w:tcBorders>
            <w:tcW w:w="2244" w:type="dxa"/>
            <w:vAlign w:val="center"/>
            <w:textDirection w:val="lrTb"/>
            <w:noWrap w:val="false"/>
          </w:tcPr>
          <w:p>
            <w:pPr>
              <w:jc w:val="righ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第1页 共1页</w:t>
            </w:r>
            <w:r/>
          </w:p>
        </w:tc>
      </w:tr>
      <w:tr>
        <w:trPr>
          <w:gridAfter w:val="1"/>
          <w:trHeight w:val="559"/>
        </w:trPr>
        <w:tc>
          <w:tcPr>
            <w:gridSpan w:val="3"/>
            <w:shd w:val="clear" w:color="auto" w:fill="ffffff"/>
            <w:tcBorders>
              <w:top w:val="single" w:color="000000" w:sz="8" w:space="0"/>
              <w:left w:val="single" w:color="000000" w:sz="8" w:space="0"/>
              <w:bottom w:val="single" w:color="000000" w:sz="4" w:space="0"/>
              <w:right w:val="single" w:color="000000" w:sz="4" w:space="0"/>
            </w:tcBorders>
            <w:tcW w:w="770"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序号</w:t>
            </w:r>
            <w:r/>
          </w:p>
        </w:tc>
        <w:tc>
          <w:tcPr>
            <w:gridSpan w:val="4"/>
            <w:shd w:val="clear" w:color="auto" w:fill="ffffff"/>
            <w:tcBorders>
              <w:top w:val="single" w:color="000000" w:sz="8"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项目名称</w:t>
            </w:r>
            <w:r/>
          </w:p>
        </w:tc>
        <w:tc>
          <w:tcPr>
            <w:gridSpan w:val="10"/>
            <w:shd w:val="clear" w:color="auto" w:fill="ffffff"/>
            <w:tcBorders>
              <w:top w:val="single" w:color="000000" w:sz="8" w:space="0"/>
              <w:left w:val="single" w:color="000000" w:sz="4" w:space="0"/>
              <w:bottom w:val="single" w:color="000000" w:sz="4" w:space="0"/>
              <w:right w:val="single" w:color="000000" w:sz="4" w:space="0"/>
            </w:tcBorders>
            <w:tcW w:w="3108"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计算基础</w:t>
            </w:r>
            <w:r/>
          </w:p>
        </w:tc>
        <w:tc>
          <w:tcPr>
            <w:gridSpan w:val="6"/>
            <w:shd w:val="clear" w:color="auto" w:fill="ffffff"/>
            <w:tcBorders>
              <w:top w:val="single" w:color="000000" w:sz="8" w:space="0"/>
              <w:left w:val="single" w:color="000000" w:sz="4" w:space="0"/>
              <w:bottom w:val="single" w:color="000000" w:sz="4" w:space="0"/>
              <w:right w:val="single" w:color="000000" w:sz="4" w:space="0"/>
            </w:tcBorders>
            <w:tcW w:w="1541"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计算基数(元)</w:t>
            </w:r>
            <w:r/>
          </w:p>
        </w:tc>
        <w:tc>
          <w:tcPr>
            <w:gridSpan w:val="6"/>
            <w:shd w:val="clear" w:color="auto" w:fill="ffffff"/>
            <w:tcBorders>
              <w:top w:val="single" w:color="000000" w:sz="8" w:space="0"/>
              <w:left w:val="single" w:color="000000" w:sz="4" w:space="0"/>
              <w:bottom w:val="single" w:color="000000" w:sz="4" w:space="0"/>
              <w:right w:val="single" w:color="000000" w:sz="4" w:space="0"/>
            </w:tcBorders>
            <w:tcW w:w="1161"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计算费率(％)</w:t>
            </w:r>
            <w:r/>
          </w:p>
        </w:tc>
        <w:tc>
          <w:tcPr>
            <w:gridSpan w:val="4"/>
            <w:shd w:val="clear" w:color="auto" w:fill="ffffff"/>
            <w:tcBorders>
              <w:top w:val="single" w:color="000000" w:sz="8" w:space="0"/>
              <w:left w:val="single" w:color="000000" w:sz="4" w:space="0"/>
              <w:bottom w:val="single" w:color="000000" w:sz="4" w:space="0"/>
              <w:right w:val="single" w:color="000000" w:sz="8" w:space="0"/>
            </w:tcBorders>
            <w:tcW w:w="1083"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金额(元)</w:t>
            </w:r>
            <w:r/>
          </w:p>
        </w:tc>
      </w:tr>
      <w:tr>
        <w:trPr>
          <w:gridAfter w:val="1"/>
          <w:trHeight w:val="353"/>
        </w:trPr>
        <w:tc>
          <w:tcPr>
            <w:gridSpan w:val="3"/>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规费</w:t>
            </w:r>
            <w:r/>
          </w:p>
        </w:tc>
        <w:tc>
          <w:tcPr>
            <w:gridSpan w:val="10"/>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100.000</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0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gridSpan w:val="3"/>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社会保险费</w:t>
            </w:r>
            <w:r/>
          </w:p>
        </w:tc>
        <w:tc>
          <w:tcPr>
            <w:gridSpan w:val="10"/>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分部分项工程费+措施项目费+其他项目费-除税工程设备费</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0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gridSpan w:val="3"/>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住房公积金</w:t>
            </w:r>
            <w:r/>
          </w:p>
        </w:tc>
        <w:tc>
          <w:tcPr>
            <w:gridSpan w:val="10"/>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分部分项工程费+措施项目费+其他项目费-除税工程设备费</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0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gridSpan w:val="3"/>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环境保护税</w:t>
            </w:r>
            <w:r/>
          </w:p>
        </w:tc>
        <w:tc>
          <w:tcPr>
            <w:gridSpan w:val="10"/>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分部分项工程费+措施项目费+其他项目费-除税工程设备费</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0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gridSpan w:val="3"/>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税金</w:t>
            </w:r>
            <w:r/>
          </w:p>
        </w:tc>
        <w:tc>
          <w:tcPr>
            <w:gridSpan w:val="10"/>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分部分项工程费+措施项目费+其他项目费+规费-除税甲供材料和甲供设备费/1.01</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9.000</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0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441"/>
        </w:trPr>
        <w:tc>
          <w:tcPr>
            <w:gridSpan w:val="29"/>
            <w:shd w:val="clear" w:color="auto" w:fill="auto"/>
            <w:tcBorders>
              <w:top w:val="single" w:color="000000" w:sz="4" w:space="0"/>
              <w:left w:val="single" w:color="000000" w:sz="8" w:space="0"/>
              <w:bottom w:val="single" w:color="000000" w:sz="8" w:space="0"/>
              <w:right w:val="single" w:color="000000" w:sz="4" w:space="0"/>
            </w:tcBorders>
            <w:tcW w:w="875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合  计</w:t>
            </w:r>
            <w:r/>
          </w:p>
        </w:tc>
        <w:tc>
          <w:tcPr>
            <w:gridSpan w:val="4"/>
            <w:shd w:val="clear" w:color="auto" w:fill="auto"/>
            <w:tcBorders>
              <w:top w:val="single" w:color="000000" w:sz="4" w:space="0"/>
              <w:left w:val="single" w:color="000000" w:sz="4" w:space="0"/>
              <w:bottom w:val="single" w:color="000000" w:sz="8" w:space="0"/>
              <w:right w:val="single" w:color="000000" w:sz="8" w:space="0"/>
            </w:tcBorders>
            <w:tcW w:w="10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691"/>
        </w:trPr>
        <w:tc>
          <w:tcPr>
            <w:gridSpan w:val="33"/>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val="false"/>
          </w:tcPr>
          <w:p>
            <w:pPr>
              <w:jc w:val="center"/>
              <w:widowControl/>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分部分项工程和单价措施项目清单与计价表</w:t>
            </w:r>
            <w:r/>
          </w:p>
        </w:tc>
      </w:tr>
      <w:tr>
        <w:trPr>
          <w:gridAfter w:val="1"/>
          <w:trHeight w:val="353"/>
        </w:trPr>
        <w:tc>
          <w:tcPr>
            <w:gridSpan w:val="15"/>
            <w:shd w:val="clear" w:color="auto" w:fill="auto"/>
            <w:tcBorders>
              <w:top w:val="none" w:color="000000" w:sz="4" w:space="0"/>
              <w:left w:val="none" w:color="000000" w:sz="4" w:space="0"/>
              <w:bottom w:val="single" w:color="000000" w:sz="8" w:space="0"/>
              <w:right w:val="none" w:color="000000" w:sz="4" w:space="0"/>
            </w:tcBorders>
            <w:tcW w:w="5862"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工程名称：安装工程</w:t>
            </w:r>
            <w:r/>
          </w:p>
        </w:tc>
        <w:tc>
          <w:tcPr>
            <w:gridSpan w:val="7"/>
            <w:shd w:val="clear" w:color="auto" w:fill="auto"/>
            <w:tcBorders>
              <w:top w:val="none" w:color="000000" w:sz="4" w:space="0"/>
              <w:left w:val="none" w:color="000000" w:sz="4" w:space="0"/>
              <w:bottom w:val="single" w:color="000000" w:sz="8" w:space="0"/>
              <w:right w:val="none" w:color="000000" w:sz="4" w:space="0"/>
            </w:tcBorders>
            <w:tcW w:w="1067"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标段：</w:t>
            </w:r>
            <w:r/>
          </w:p>
        </w:tc>
        <w:tc>
          <w:tcPr>
            <w:gridSpan w:val="11"/>
            <w:shd w:val="clear" w:color="auto" w:fill="auto"/>
            <w:tcBorders>
              <w:top w:val="none" w:color="000000" w:sz="4" w:space="0"/>
              <w:left w:val="none" w:color="000000" w:sz="4" w:space="0"/>
              <w:bottom w:val="single" w:color="000000" w:sz="8" w:space="0"/>
              <w:right w:val="none" w:color="000000" w:sz="4" w:space="0"/>
            </w:tcBorders>
            <w:tcW w:w="2909" w:type="dxa"/>
            <w:vAlign w:val="center"/>
            <w:textDirection w:val="lrTb"/>
            <w:noWrap w:val="false"/>
          </w:tcPr>
          <w:p>
            <w:pPr>
              <w:jc w:val="righ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第1页 共11页</w:t>
            </w:r>
            <w:r/>
          </w:p>
        </w:tc>
      </w:tr>
      <w:tr>
        <w:trPr>
          <w:gridAfter w:val="1"/>
          <w:trHeight w:val="338"/>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序号</w:t>
            </w:r>
            <w:r/>
          </w:p>
        </w:tc>
        <w:tc>
          <w:tcPr>
            <w:gridSpan w:val="5"/>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项目编码</w:t>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540"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项目名称</w:t>
            </w:r>
            <w:r/>
          </w:p>
        </w:tc>
        <w:tc>
          <w:tcPr>
            <w:gridSpan w:val="4"/>
            <w:shd w:val="clear" w:color="auto" w:fill="ffffff"/>
            <w:tcBorders>
              <w:top w:val="single" w:color="000000" w:sz="8" w:space="0"/>
              <w:left w:val="single" w:color="000000" w:sz="4" w:space="0"/>
              <w:bottom w:val="single" w:color="000000" w:sz="4" w:space="0"/>
              <w:right w:val="single" w:color="000000" w:sz="4" w:space="0"/>
            </w:tcBorders>
            <w:tcW w:w="1783"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项目特征描述</w:t>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计量</w:t>
            </w:r>
            <w:r>
              <w:rPr>
                <w:rFonts w:hint="eastAsia" w:ascii="黑体" w:hAnsi="宋体" w:eastAsia="黑体" w:cs="黑体"/>
                <w:b/>
                <w:bCs/>
                <w:color w:val="000000" w:themeColor="text1"/>
                <w:sz w:val="18"/>
                <w:szCs w:val="18"/>
                <w:highlight w:val="none"/>
              </w:rPr>
              <w:br/>
            </w:r>
            <w:r>
              <w:rPr>
                <w:rFonts w:hint="eastAsia" w:ascii="黑体" w:hAnsi="宋体" w:eastAsia="黑体" w:cs="黑体"/>
                <w:b/>
                <w:bCs/>
                <w:color w:val="000000" w:themeColor="text1"/>
                <w:sz w:val="18"/>
                <w:szCs w:val="18"/>
                <w:highlight w:val="none"/>
              </w:rPr>
              <w:t xml:space="preserve">单位</w:t>
            </w:r>
            <w:r/>
          </w:p>
        </w:tc>
        <w:tc>
          <w:tcPr>
            <w:gridSpan w:val="7"/>
            <w:shd w:val="clear" w:color="auto" w:fill="ffffff"/>
            <w:tcBorders>
              <w:top w:val="single" w:color="000000" w:sz="8"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工程量</w:t>
            </w:r>
            <w:r/>
          </w:p>
        </w:tc>
        <w:tc>
          <w:tcPr>
            <w:gridSpan w:val="11"/>
            <w:shd w:val="clear" w:color="auto" w:fill="ffffff"/>
            <w:tcBorders>
              <w:top w:val="single" w:color="000000" w:sz="8" w:space="0"/>
              <w:left w:val="single" w:color="000000" w:sz="4" w:space="0"/>
              <w:bottom w:val="single" w:color="000000" w:sz="4" w:space="0"/>
              <w:right w:val="single" w:color="000000" w:sz="8" w:space="0"/>
            </w:tcBorders>
            <w:tcW w:w="2909" w:type="dxa"/>
            <w:vAlign w:val="center"/>
            <w:textDirection w:val="lrTb"/>
            <w:noWrap/>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金额（元）</w:t>
            </w:r>
            <w:r/>
          </w:p>
        </w:tc>
      </w:tr>
      <w:tr>
        <w:trPr>
          <w:gridAfter w:val="1"/>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5"/>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4"/>
            <w:shd w:val="clear" w:color="auto" w:fill="ffffff"/>
            <w:tcBorders>
              <w:top w:val="single" w:color="000000" w:sz="8" w:space="0"/>
              <w:left w:val="single" w:color="000000" w:sz="4" w:space="0"/>
              <w:bottom w:val="single" w:color="000000" w:sz="4" w:space="0"/>
              <w:right w:val="single" w:color="000000" w:sz="4" w:space="0"/>
            </w:tcBorders>
            <w:tcW w:w="1783"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7"/>
            <w:shd w:val="clear" w:color="auto" w:fill="ffffff"/>
            <w:tcBorders>
              <w:top w:val="single" w:color="000000" w:sz="8"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综合单价</w:t>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1120" w:type="dxa"/>
            <w:vAlign w:val="center"/>
            <w:vMerge w:val="restart"/>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合价</w:t>
            </w:r>
            <w:r/>
          </w:p>
        </w:tc>
        <w:tc>
          <w:tcPr>
            <w:gridSpan w:val="3"/>
            <w:shd w:val="clear" w:color="auto" w:fill="ffffff"/>
            <w:tcBorders>
              <w:top w:val="single" w:color="000000" w:sz="4" w:space="0"/>
              <w:left w:val="single" w:color="000000" w:sz="4" w:space="0"/>
              <w:bottom w:val="single" w:color="000000" w:sz="4" w:space="0"/>
              <w:right w:val="single" w:color="000000" w:sz="8" w:space="0"/>
            </w:tcBorders>
            <w:tcW w:w="1013" w:type="dxa"/>
            <w:vAlign w:val="center"/>
            <w:textDirection w:val="lrTb"/>
            <w:noWrap/>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其中</w:t>
            </w:r>
            <w:r/>
          </w:p>
        </w:tc>
      </w:tr>
      <w:tr>
        <w:trPr>
          <w:gridAfter w:val="1"/>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5"/>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540"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4"/>
            <w:shd w:val="clear" w:color="auto" w:fill="ffffff"/>
            <w:tcBorders>
              <w:top w:val="single" w:color="000000" w:sz="8" w:space="0"/>
              <w:left w:val="single" w:color="000000" w:sz="4" w:space="0"/>
              <w:bottom w:val="single" w:color="000000" w:sz="4" w:space="0"/>
              <w:right w:val="single" w:color="000000" w:sz="4" w:space="0"/>
            </w:tcBorders>
            <w:tcW w:w="1783"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7"/>
            <w:shd w:val="clear" w:color="auto" w:fill="ffffff"/>
            <w:tcBorders>
              <w:top w:val="single" w:color="000000" w:sz="8"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jc w:val="center"/>
              <w:rPr>
                <w:rFonts w:ascii="黑体" w:hAnsi="宋体" w:eastAsia="黑体" w:cs="黑体"/>
                <w:b/>
                <w:bCs/>
                <w:color w:val="000000" w:themeColor="text1"/>
                <w:sz w:val="18"/>
                <w:szCs w:val="18"/>
                <w:highlight w:val="none"/>
              </w:rPr>
            </w:pPr>
            <w:r>
              <w:rPr>
                <w:rFonts w:ascii="黑体" w:hAnsi="宋体" w:eastAsia="黑体" w:cs="黑体"/>
                <w:b/>
                <w:bCs/>
                <w:color w:val="000000" w:themeColor="text1"/>
                <w:sz w:val="18"/>
                <w:szCs w:val="18"/>
                <w:highlight w:val="none"/>
              </w:rPr>
            </w:r>
            <w:r/>
          </w:p>
        </w:tc>
        <w:tc>
          <w:tcPr>
            <w:gridSpan w:val="3"/>
            <w:shd w:val="clear" w:color="auto" w:fill="ffffff"/>
            <w:tcBorders>
              <w:top w:val="single" w:color="000000" w:sz="4" w:space="0"/>
              <w:left w:val="single" w:color="000000" w:sz="4" w:space="0"/>
              <w:bottom w:val="single" w:color="000000" w:sz="4" w:space="0"/>
              <w:right w:val="single" w:color="000000" w:sz="8" w:space="0"/>
            </w:tcBorders>
            <w:tcW w:w="1013" w:type="dxa"/>
            <w:vAlign w:val="center"/>
            <w:textDirection w:val="lrTb"/>
            <w:noWrap/>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暂估价</w:t>
            </w:r>
            <w:r/>
          </w:p>
        </w:tc>
      </w:tr>
      <w:tr>
        <w:trPr>
          <w:gridAfter w:val="1"/>
          <w:trHeight w:val="33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32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电气部分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8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030404017001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配电箱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1、名称:照明配电箱1AL</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2、备注:原配电箱改造,仅调整出线回路,进线电缆不变</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台</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8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030404017002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配电箱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1、名称:空调配电箱1AP</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2、备注:原配电箱改造,仅调整出线回路,进线电缆不变</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台</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6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030404017003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配电箱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1、名称:照明配电箱2AL</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2、备注:原配电箱改造,仅调整出线回路,进线电缆不变</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台</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8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030404017004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配电箱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1、名称:空调配电箱2AP</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2、备注:原配电箱改造,仅调整出线回路,进线电缆不变</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台</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6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030404017005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配电箱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1、名称:照明配电箱3AL</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2、备注:原配电箱改造,仅调整出线回路,进线电缆不变</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台</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8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030404017006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配电箱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1、名称:空调配电箱3AP</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2、备注:原配电箱改造,仅调整出线回路,进线电缆不变</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台</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269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030404017007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配电箱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1、名称:厨房动力专用配电箱3APcf</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2、规格:600*800*180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3、安装方式:非标箱,明装,下沿距地1.0m</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4、备注:回路根据厂房设备厂家需要确定,注意三相平衡接线,预留容量60KW</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台</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6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030411001001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配管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1、名称:镀锌焊管</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2、规格、型号:SC50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3、配置形式:砖、混凝土结构暗配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97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030411001002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配管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1、名称:镀锌电线管</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2、规格、型号:JDG25</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3、配置形式:投标人结合现场自行考虑吊棚内明敷、暗敷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51.76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986"/>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030411001003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配管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1、名称:镀锌电线管</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2、规格、型号:JDG20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3、配置形式:投标人结合现场自行考虑吊棚内明敷、暗敷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1578.15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75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030411001004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配管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1、名称:刚性阻燃管</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2、规格:PC50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3、配置形式:投标人结合现场自行考虑吊棚内明敷、暗敷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79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030413002001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凿（压）槽</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1、名称:管道墙面开槽并恢复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2、规格:DN25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030413002002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凿（压）槽</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1、名称:管道墙面开槽并恢复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2、规格:DN20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481.43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030413001001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铁构件</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1、名称:管道支、吊架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kg</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219.34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75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030408001001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电力电缆</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1、名称:铜芯电力电缆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2、规格:YJV-0.6/1KV-5X16</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3、敷设方式、部位:管道敷设/桥架敷设</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030408006001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电力电缆头</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1、名称:铜芯电力电缆头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2、规格:YJV-0.6/1KV-5X16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0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030411004001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配线</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1、名称:铜芯电线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2、配线形式:管内穿线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3、型号:BV-2.5mm2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4891.37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030411004002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配线</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1、名称:铜芯电线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2、配线形式:管内穿线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3、型号:BV-4mm2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218.4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030411004003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配线</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1、名称:铜芯电线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2、配线形式:线槽配线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3、型号:BV-2.5mm2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3201.36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0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030411004004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配线</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1、名称:铜芯电线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2、配线形式:线槽配线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3、型号:BV-4mm2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321.42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79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030412004001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装饰灯</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1、名称:射灯</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2、型号:12W</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3、规格:φ80mm</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030412004002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装饰灯</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1、名称:筒灯</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2、型号:20W</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3、规格:φ80mm</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030412004003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装饰灯</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1、名称:双头格栅射灯（黑色）</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2、型号:16w</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030412001001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普通灯具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1、名称:圆形吸顶灯</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2、规格:35w</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79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030412005001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荧光灯</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1、名称:300*600平板灯</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2、规格:24W</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030412001002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普通灯具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1、名称:方形吸顶灯</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2、规格:35w</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030412001003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普通灯具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1、名称:长方形吸顶灯</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2、规格:35w</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030412005002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荧光灯</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1、名称:定制LED长条平板灯</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2、规格:详见设计图纸</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030412004004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装饰灯</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1、名称:LED灯带</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2、规格:详见设计图纸</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55.31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030404036001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其他电器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1、名称:取暖器（浴霸/风暖）</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0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030404033001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风扇</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1、名称:排风扇</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2、备注:1、开孔尺寸为300*300mm超静音嵌入式排风扇；</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台</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030404034001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照明开关</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1、名称:单联单控开关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030404034002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照明开关</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1、名称:双联单控开关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030404034003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照明开关</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1、名称:三联单控开关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030404034004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照明开关</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1、名称:单联双控开关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030404034005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照明开关</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1、名称:双联双控开关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030404034006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照明开关</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1、名称:三联双控开关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030404035001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插座</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1、名称:三相插座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030404035002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插座</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1、名称:厨卫专用插座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030404035003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插座</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1、名称:单相二级三级组合插座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148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030404035004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插座</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1、名称:地插</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030404036002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其他电器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1、名称:预留电源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030411006001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接线盒</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1、名称:接线盒</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2、材质:铁质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030411006002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接线盒</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1、名称:开关盒</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2、材质:铁质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030409008001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等电位端子箱、测试板</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1、名称:LEB分等电位箱</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台</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030409002001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接地母线</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1、名称:接地扁铁</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2、规格:40*4热镀锌扁钢</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3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030414011001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接地装置</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1、名称:接地调试</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系统</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030414002001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送配电装置系统</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1、电压等级（kV）:1kV以下交流供电 (综合)</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系统</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分部小计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3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智能化工程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8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030411001005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配管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1、名称:塑料管</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2、规格、型号:PC50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3、配置形式:砖、混凝土结构明配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986"/>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030411001006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配管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1、名称:镀锌电线管</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2、规格、型号:JDG20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3、配置形式:投标人结合现场自行考虑吊棚内明敷、暗敷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593.79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79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030413002003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凿（压）槽</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1、名称:管道墙面开槽并恢复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2、规格:DN20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174.52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7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030413001002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铁构件</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1、名称:管道支、吊架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kg</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83.85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79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030502005001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双绞线缆</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1、名称:网线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2、规格、型号:UTP5 4x2x0.5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1367.54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030502005002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双绞线缆</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1、名称:网线</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2、规格、型号:Cat6.STP</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592.54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030502012001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信息插座</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1、名称:宽带网络插座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030502012002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信息插座</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1、名称:电话插座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8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030507008001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监控摄像设备</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1、名称:400万智能红外POE网络球机</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2、规格型号:详见设计图纸，满足甲方要求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台</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030501009001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路由器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1、名称:无线AP</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2、规格:详见设计图纸，满足甲方要求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台</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8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030507006001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出入口控制设备</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1、名称:单向电动移门门禁</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2、规格:详见设计图纸，满足甲方要求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台</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3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分部小计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给水系统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244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031001007001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复合管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1、安装部位:埋地</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2、介质:给水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3、材质、规格:热镀锌衬塑钢管DN50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4、压力试验及吹、洗设计要求:管道消毒、冲洗、试压</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5、防腐:冷底子油二道、石油沥青两道、防水布二道</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16.12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2457"/>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031001007002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复合管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1、安装部位:埋地</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2、介质:给水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3、材质、规格:热镀锌衬塑钢管DN25</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4、压力试验及吹、洗设计要求:管道消毒、冲洗、试压</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5、防腐:冷底子油二道、石油沥青两道、防水布二道</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6.82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031001007003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复合管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1、安装部位:室内</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2、介质:给水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3、材质、规格:热镀锌衬塑钢管DN50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12.59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50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031001006001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塑料管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1、名称:PPR-DN15</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2、安装部位:室内</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3、介质:给水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4、连接形式:热熔</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5、试验要求:管道消毒、冲洗、试压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115.74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031001006002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塑料管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1、名称:PPR-DN20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2、安装部位:室内</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3、介质:给水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4、连接形式:热熔</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5、试验要求:管道消毒、冲洗、试压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031001006003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塑料管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1、名称:PPR-DN25</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2、安装部位:室内</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3、介质:给水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4、连接形式:热熔</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5、试验要求:管道消毒、冲洗、试压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031001006004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塑料管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1、名称:PPR-DN32</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2、安装部位:室内</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3、介质:给水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4、连接形式:热熔</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5、试验要求:管道消毒、冲洗、试压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83.11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031001006005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塑料管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1、名称:PPR-DN40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2、安装部位:室内</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3、介质:给水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4、连接形式:热熔</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5、试验要求:管道消毒、冲洗、试压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7.97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50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031001006006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塑料管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1、名称:PPR-DN50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2、安装部位:室内</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3、介质:给水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4、连接形式:热熔</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5、试验要求:管道消毒、冲洗、试压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031001006007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塑料管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1、名称:PPR-DN15</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2、安装部位:室内</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3、介质:热水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4、连接形式:热熔</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5、试验要求:管道消毒、冲洗、试压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43.34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031001006008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塑料管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1、名称:PPR-DN20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2、安装部位:室内</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3、介质:热水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4、连接形式:热熔</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5、试验要求:管道消毒、冲洗、试压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50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031001006009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塑料管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1、名称:PPR-DN32</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2、安装部位:室内</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3、介质:热水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4、连接形式:热熔</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5、试验要求:管道消毒、冲洗、试压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3.91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030413002004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凿（压）槽</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1、名称:墙面开槽及恢复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2、规格:DN20~65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178.27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031003013001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水表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1、名称:水表</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2、型号、规格:DN63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组</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031003001001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螺纹阀门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1、名称:截止阀</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2、规格、压力等级:DN50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79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031003001002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螺纹阀门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1、名称:截止阀</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2、规格、压力等级:DN32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031003001003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螺纹阀门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1、名称:截止阀</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2、规格、压力等级:DN25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031003001004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螺纹阀门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1、名称:闸阀</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2、规格、压力等级:DN65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031003001005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螺纹阀门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1、名称:闸阀</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2、规格、压力等级:DN50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79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031003001006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螺纹阀门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1、名称:闸阀</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2、规格、压力等级:DN32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031003001007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螺纹阀门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1、名称:闸阀</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2、规格、压力等级:DN25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031003001008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螺纹阀门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1、名称:快速排气阀</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2、规格、压力等级:DN25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031004014001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给、排水附（配）件</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1、名称:水龙头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2、型号、规格:DN20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031002003001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1、名称、类型:刚性防水套管</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2、材质:碳钢</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3、规格:DN80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4、填料材质:含封堵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50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031002003002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1、名称、类型:刚性防水套管</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2、材质:碳钢</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3、规格:DN100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4、填料材质:含封堵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0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040504001001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砌筑井</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1、名称:水表井</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2、规格型号:满足甲方要求、详见设计图纸</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座</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010101003001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挖沟槽土方</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1、名称:土方开挖</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2、挖土深度:1.0m 以内</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m3</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010103001001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回填方</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1、密实度要求:分层夯实</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2、填方来源、运距:原土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m3</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分部小计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3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污水工程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031001006010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塑料管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1、名称:UPVC-DN50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2、介质:污水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3、连接形式:粘接</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21.05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031001006011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塑料管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1、名称:UPVC-DN75</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2、介质:污水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3、连接形式:粘接</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18.81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031001006012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塑料管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1、名称:UPVC-DN100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2、介质:污水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3、连接形式:粘接</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93.83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0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031001006013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塑料管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1、名称:承压型塑料排水管DN50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2、介质:污水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3、连接形式:粘接</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031001006014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塑料管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1、名称:承压型塑料排水管DN75</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2、介质:污水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3、连接形式:粘接</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0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031001006015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塑料管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1、名称:承压型塑料排水管DN100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2、介质:污水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3、连接形式:粘接</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19.44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736"/>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031004003001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洗脸盆</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1、材质:陶瓷</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2、规格、类型:详见设计图纸</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3、附件名称、数量:包含角阀、软管等所有附件，投标人自行考虑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组</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97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031004004001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洗涤盆</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1、名称:厨房洗涤槽</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2、规格、类型:详见设计图纸及说明</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3、附件名称、数量:包含角阀、软管等所有附件，投标人自行考虑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组</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031004006001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大便器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1、名称:坐便器及下水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2、附件名称、数量:包含角阀、软管等所有附件，投标人自行考虑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组</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75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031004006002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大便器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1、材质:陶瓷</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2、规格、类型:蹲式大便器</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3、附件名称、数量:包含角阀、软管等所有附件，投标人自行考虑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组</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50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031004007001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小便器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1、名称:感应小便斗（含感应器）</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2、附件名称、数量:包含角阀、软管等所有附件，投标人自行考虑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组</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031004010001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淋浴器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1、材质、规格:淋浴器（黑色增压式花洒）</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0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031004004002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洗涤盆</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1、名称:拖把池</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2、附件名称、数量:含拖把池、龙头、下水等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组</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6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031006012001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热水器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1、名称:电热水器</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2、型号、容积:60L</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3、备注:详见设计图纸，满足甲方要求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台</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0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031004014002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给、排水附（配）件</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1、名称:地面清扫口</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2、型号、规格:DN100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031004014003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给、排水附（配）件</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1、名称:地漏</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2、材质:UPVC</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3、型号、规格:DN50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50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031002003003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1、名称、类型:刚性防水套管</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2、材质:碳钢</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3、规格:DN150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4、填料材质:含封堵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031002003004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套管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1、名称、类型:刚性防水套管</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2、材质:碳钢</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3、规格:DN150</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4、填料材质:含封堵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个</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010101003002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挖沟槽土方</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1、名称:土方开挖</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2、挖土深度:1.0m 以内</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m3</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17.84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010103001002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回填方</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1、密实度要求:分层夯实</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2、填方来源、运距:原土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m3</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17.84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分部小计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031000000</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其他零星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4076"/>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03B001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拆除项目</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1、建筑内原灯具、洁具、管道、电线电缆、桥架、支架、配电箱、开关插座面板、风管、风机、保温材料、空调等全部安装项目拆除，配合土建单位拆除到位</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2、投标人自行勘察现场，综合考虑报价，中标后不再调整</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3、拆除的材料需告知建设单位是否移交，无需移交的由中标单位自行处理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292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03B002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零星项目</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1、名称:零星项目</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2、工作内容:所有管道穿越建筑内墙、梁等构筑物时，打孔、预留洞口、预留套管、阻火圈、防火防水封堵等工作内容(除去上述清单以外部分)</w:t>
            </w:r>
            <w:r>
              <w:rPr>
                <w:rFonts w:hint="eastAsia" w:ascii="宋体" w:hAnsi="宋体" w:cs="宋体"/>
                <w:color w:val="000000" w:themeColor="text1"/>
                <w:sz w:val="18"/>
                <w:szCs w:val="18"/>
                <w:highlight w:val="none"/>
              </w:rPr>
              <w:br/>
            </w:r>
            <w:r>
              <w:rPr>
                <w:rFonts w:hint="eastAsia" w:ascii="宋体" w:hAnsi="宋体" w:cs="宋体"/>
                <w:color w:val="000000" w:themeColor="text1"/>
                <w:sz w:val="18"/>
                <w:szCs w:val="18"/>
                <w:highlight w:val="none"/>
              </w:rPr>
              <w:t xml:space="preserve">3、投标人自行考虑，综合报价，中标后不再调整</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3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分部分项工程清单合计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031301017001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脚手架搭拆</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单价措施项目清单合计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441"/>
        </w:trPr>
        <w:tc>
          <w:tcPr>
            <w:gridSpan w:val="24"/>
            <w:shd w:val="clear" w:color="auto" w:fill="auto"/>
            <w:tcBorders>
              <w:top w:val="single" w:color="000000" w:sz="4" w:space="0"/>
              <w:left w:val="single" w:color="000000" w:sz="8" w:space="0"/>
              <w:bottom w:val="single" w:color="000000" w:sz="8" w:space="0"/>
              <w:right w:val="single" w:color="000000" w:sz="4" w:space="0"/>
            </w:tcBorders>
            <w:tcW w:w="77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合    计</w:t>
            </w:r>
            <w:r/>
          </w:p>
        </w:tc>
        <w:tc>
          <w:tcPr>
            <w:gridSpan w:val="6"/>
            <w:shd w:val="clear" w:color="auto" w:fill="auto"/>
            <w:tcBorders>
              <w:top w:val="single" w:color="000000" w:sz="4" w:space="0"/>
              <w:left w:val="single" w:color="000000" w:sz="4" w:space="0"/>
              <w:bottom w:val="single" w:color="000000" w:sz="8" w:space="0"/>
              <w:right w:val="single" w:color="000000" w:sz="4" w:space="0"/>
            </w:tcBorders>
            <w:tcW w:w="1120"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691"/>
        </w:trPr>
        <w:tc>
          <w:tcPr>
            <w:gridSpan w:val="33"/>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val="false"/>
          </w:tcPr>
          <w:p>
            <w:pPr>
              <w:jc w:val="center"/>
              <w:widowControl/>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总价措施项目清单与计价表</w:t>
            </w:r>
            <w:r/>
          </w:p>
        </w:tc>
      </w:tr>
      <w:tr>
        <w:trPr>
          <w:gridAfter w:val="1"/>
          <w:trHeight w:val="353"/>
        </w:trPr>
        <w:tc>
          <w:tcPr>
            <w:gridSpan w:val="14"/>
            <w:shd w:val="clear" w:color="auto" w:fill="auto"/>
            <w:tcBorders>
              <w:top w:val="none" w:color="000000" w:sz="4" w:space="0"/>
              <w:left w:val="none" w:color="000000" w:sz="4" w:space="0"/>
              <w:bottom w:val="single" w:color="000000" w:sz="8" w:space="0"/>
              <w:right w:val="none" w:color="000000" w:sz="4" w:space="0"/>
            </w:tcBorders>
            <w:tcW w:w="5731"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工程名称：安装工程</w:t>
            </w:r>
            <w:r/>
          </w:p>
        </w:tc>
        <w:tc>
          <w:tcPr>
            <w:gridSpan w:val="7"/>
            <w:shd w:val="clear" w:color="auto" w:fill="auto"/>
            <w:tcBorders>
              <w:top w:val="none" w:color="000000" w:sz="4" w:space="0"/>
              <w:left w:val="none" w:color="000000" w:sz="4" w:space="0"/>
              <w:bottom w:val="single" w:color="000000" w:sz="8" w:space="0"/>
              <w:right w:val="none" w:color="000000" w:sz="4" w:space="0"/>
            </w:tcBorders>
            <w:tcW w:w="1162"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标段：</w:t>
            </w:r>
            <w:r/>
          </w:p>
        </w:tc>
        <w:tc>
          <w:tcPr>
            <w:gridSpan w:val="12"/>
            <w:shd w:val="clear" w:color="auto" w:fill="auto"/>
            <w:tcBorders>
              <w:top w:val="none" w:color="000000" w:sz="4" w:space="0"/>
              <w:left w:val="none" w:color="000000" w:sz="4" w:space="0"/>
              <w:bottom w:val="single" w:color="000000" w:sz="8" w:space="0"/>
              <w:right w:val="none" w:color="000000" w:sz="4" w:space="0"/>
            </w:tcBorders>
            <w:tcW w:w="2945" w:type="dxa"/>
            <w:vAlign w:val="center"/>
            <w:textDirection w:val="lrTb"/>
            <w:noWrap w:val="false"/>
          </w:tcPr>
          <w:p>
            <w:pPr>
              <w:jc w:val="righ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第1页 共2页</w:t>
            </w:r>
            <w:r/>
          </w:p>
        </w:tc>
      </w:tr>
      <w:tr>
        <w:trPr>
          <w:gridAfter w:val="1"/>
          <w:trHeight w:val="809"/>
        </w:trPr>
        <w:tc>
          <w:tcPr>
            <w:gridSpan w:val="2"/>
            <w:shd w:val="clear" w:color="auto" w:fill="ffffff"/>
            <w:tcBorders>
              <w:top w:val="single" w:color="000000" w:sz="8"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序号</w:t>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1324"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项目编码</w:t>
            </w:r>
            <w:r/>
          </w:p>
        </w:tc>
        <w:tc>
          <w:tcPr>
            <w:gridSpan w:val="4"/>
            <w:shd w:val="clear" w:color="auto" w:fill="ffffff"/>
            <w:tcBorders>
              <w:top w:val="single" w:color="000000" w:sz="8"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项目名称</w:t>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161"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计算基础</w:t>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费率（%）</w:t>
            </w:r>
            <w:r/>
          </w:p>
        </w:tc>
        <w:tc>
          <w:tcPr>
            <w:gridSpan w:val="7"/>
            <w:shd w:val="clear" w:color="auto" w:fill="ffffff"/>
            <w:tcBorders>
              <w:top w:val="single" w:color="000000" w:sz="8"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金额（元）</w:t>
            </w:r>
            <w:r/>
          </w:p>
        </w:tc>
        <w:tc>
          <w:tcPr>
            <w:gridSpan w:val="7"/>
            <w:shd w:val="clear" w:color="auto" w:fill="ffffff"/>
            <w:tcBorders>
              <w:top w:val="single" w:color="000000" w:sz="8" w:space="0"/>
              <w:left w:val="single" w:color="000000" w:sz="4" w:space="0"/>
              <w:bottom w:val="single" w:color="000000" w:sz="4" w:space="0"/>
              <w:right w:val="single" w:color="000000" w:sz="4" w:space="0"/>
            </w:tcBorders>
            <w:tcW w:w="919"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调整</w:t>
            </w:r>
            <w:r>
              <w:rPr>
                <w:rFonts w:hint="eastAsia" w:ascii="黑体" w:hAnsi="宋体" w:eastAsia="黑体" w:cs="黑体"/>
                <w:b/>
                <w:bCs/>
                <w:color w:val="000000" w:themeColor="text1"/>
                <w:sz w:val="18"/>
                <w:szCs w:val="18"/>
                <w:highlight w:val="none"/>
              </w:rPr>
              <w:br/>
            </w:r>
            <w:r>
              <w:rPr>
                <w:rFonts w:hint="eastAsia" w:ascii="黑体" w:hAnsi="宋体" w:eastAsia="黑体" w:cs="黑体"/>
                <w:b/>
                <w:bCs/>
                <w:color w:val="000000" w:themeColor="text1"/>
                <w:sz w:val="18"/>
                <w:szCs w:val="18"/>
                <w:highlight w:val="none"/>
              </w:rPr>
              <w:t xml:space="preserve">费率（%）</w:t>
            </w:r>
            <w:r/>
          </w:p>
        </w:tc>
        <w:tc>
          <w:tcPr>
            <w:gridSpan w:val="4"/>
            <w:shd w:val="clear" w:color="auto" w:fill="ffffff"/>
            <w:tcBorders>
              <w:top w:val="single" w:color="000000" w:sz="8" w:space="0"/>
              <w:left w:val="single" w:color="000000" w:sz="4" w:space="0"/>
              <w:bottom w:val="single" w:color="000000" w:sz="4" w:space="0"/>
              <w:right w:val="single" w:color="000000" w:sz="4" w:space="0"/>
            </w:tcBorders>
            <w:tcW w:w="1161"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调整后</w:t>
            </w:r>
            <w:r>
              <w:rPr>
                <w:rFonts w:hint="eastAsia" w:ascii="黑体" w:hAnsi="宋体" w:eastAsia="黑体" w:cs="黑体"/>
                <w:b/>
                <w:bCs/>
                <w:color w:val="000000" w:themeColor="text1"/>
                <w:sz w:val="18"/>
                <w:szCs w:val="18"/>
                <w:highlight w:val="none"/>
              </w:rPr>
              <w:br/>
            </w:r>
            <w:r>
              <w:rPr>
                <w:rFonts w:hint="eastAsia" w:ascii="黑体" w:hAnsi="宋体" w:eastAsia="黑体" w:cs="黑体"/>
                <w:b/>
                <w:bCs/>
                <w:color w:val="000000" w:themeColor="text1"/>
                <w:sz w:val="18"/>
                <w:szCs w:val="18"/>
                <w:highlight w:val="none"/>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865"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备注</w:t>
            </w:r>
            <w:r/>
          </w:p>
        </w:tc>
      </w:tr>
      <w:tr>
        <w:trPr>
          <w:gridAfter w:val="1"/>
          <w:trHeight w:val="338"/>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031302001001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现场安全文明施工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80"/>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基本费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分部分项工程费+单价措施项目费-除税工程设备费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1.500</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65"/>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标化增加费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分部分项工程费+单价措施项目费-除税工程设备费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80"/>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扬尘污染防治增加费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分部分项工程费+单价措施项目费-除税工程设备费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0.210</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1280"/>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031302010001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工程按质论价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分部分项工程费+单价措施项目费-除税工程设备费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38"/>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031302002001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夜间施工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031302004001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二次搬运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031302005001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冬雨季施工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794"/>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03B003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地上、地下设施、建筑物的临时保护设施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031302006001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已完工程及设备保护费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031302008001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临时设施费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031302009001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赶工措施费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03B004</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特殊条件下施工增加费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031302003001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非夜间施工照明</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38"/>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031302011001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住宅工程分户验收</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gridSpan w:val="2"/>
            <w:shd w:val="clear" w:color="auto" w:fill="auto"/>
            <w:tcBorders>
              <w:top w:val="single" w:color="000000" w:sz="4" w:space="0"/>
              <w:left w:val="single" w:color="000000" w:sz="8" w:space="0"/>
              <w:bottom w:val="single" w:color="000000" w:sz="8"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w:t>
            </w:r>
            <w:r/>
          </w:p>
        </w:tc>
        <w:tc>
          <w:tcPr>
            <w:gridSpan w:val="3"/>
            <w:shd w:val="clear" w:color="auto" w:fill="auto"/>
            <w:tcBorders>
              <w:top w:val="single" w:color="000000" w:sz="4" w:space="0"/>
              <w:left w:val="single" w:color="000000" w:sz="4" w:space="0"/>
              <w:bottom w:val="single" w:color="000000" w:sz="8"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031302012001</w:t>
            </w:r>
            <w:r/>
          </w:p>
        </w:tc>
        <w:tc>
          <w:tcPr>
            <w:gridSpan w:val="4"/>
            <w:shd w:val="clear" w:color="auto" w:fill="auto"/>
            <w:tcBorders>
              <w:top w:val="single" w:color="000000" w:sz="4" w:space="0"/>
              <w:left w:val="single" w:color="000000" w:sz="4" w:space="0"/>
              <w:bottom w:val="single" w:color="000000" w:sz="8"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建筑工人实名制费用</w:t>
            </w:r>
            <w:r/>
          </w:p>
        </w:tc>
        <w:tc>
          <w:tcPr>
            <w:gridSpan w:val="4"/>
            <w:shd w:val="clear" w:color="auto" w:fill="auto"/>
            <w:tcBorders>
              <w:top w:val="single" w:color="000000" w:sz="4" w:space="0"/>
              <w:left w:val="single" w:color="000000" w:sz="4" w:space="0"/>
              <w:bottom w:val="single" w:color="000000" w:sz="8" w:space="0"/>
              <w:right w:val="single" w:color="000000" w:sz="4" w:space="0"/>
            </w:tcBorders>
            <w:tcW w:w="16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8" w:space="0"/>
              <w:right w:val="single" w:color="000000" w:sz="4" w:space="0"/>
            </w:tcBorders>
            <w:tcW w:w="67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8" w:space="0"/>
              <w:right w:val="single" w:color="000000" w:sz="4" w:space="0"/>
            </w:tcBorders>
            <w:tcW w:w="94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8" w:space="0"/>
              <w:right w:val="single" w:color="000000" w:sz="4" w:space="0"/>
            </w:tcBorders>
            <w:tcW w:w="8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8"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8"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4647"/>
        </w:trPr>
        <w:tc>
          <w:tcPr>
            <w:gridSpan w:val="2"/>
            <w:shd w:val="clear" w:color="auto" w:fill="auto"/>
            <w:tcBorders>
              <w:top w:val="single" w:color="000000" w:sz="4" w:space="0"/>
              <w:left w:val="single" w:color="000000" w:sz="8"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031302015001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智慧工地费用</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现场安全隐患排查、人员信息动态管理、扬尘管控视频监控、高处作业防护预警、危大工程监测预警和集成平台等设备、软件和管理费用。</w:t>
            </w:r>
            <w:r/>
          </w:p>
        </w:tc>
      </w:tr>
      <w:tr>
        <w:trPr>
          <w:gridAfter w:val="1"/>
          <w:trHeight w:val="456"/>
        </w:trPr>
        <w:tc>
          <w:tcPr>
            <w:gridSpan w:val="16"/>
            <w:shd w:val="clear" w:color="auto" w:fill="auto"/>
            <w:tcBorders>
              <w:top w:val="single" w:color="000000" w:sz="4" w:space="0"/>
              <w:left w:val="single" w:color="000000" w:sz="8" w:space="0"/>
              <w:bottom w:val="single" w:color="000000" w:sz="8" w:space="0"/>
              <w:right w:val="single" w:color="000000" w:sz="4" w:space="0"/>
            </w:tcBorders>
            <w:tcW w:w="598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合   计</w:t>
            </w:r>
            <w:r/>
          </w:p>
        </w:tc>
        <w:tc>
          <w:tcPr>
            <w:gridSpan w:val="6"/>
            <w:shd w:val="clear" w:color="auto" w:fill="auto"/>
            <w:tcBorders>
              <w:top w:val="single" w:color="000000" w:sz="4" w:space="0"/>
              <w:left w:val="single" w:color="000000" w:sz="4" w:space="0"/>
              <w:bottom w:val="single" w:color="000000" w:sz="8" w:space="0"/>
              <w:right w:val="single" w:color="000000" w:sz="4" w:space="0"/>
            </w:tcBorders>
            <w:tcW w:w="944"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8" w:space="0"/>
              <w:right w:val="single" w:color="000000" w:sz="4" w:space="0"/>
            </w:tcBorders>
            <w:tcW w:w="8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4"/>
            <w:shd w:val="clear" w:color="auto" w:fill="auto"/>
            <w:tcBorders>
              <w:top w:val="single" w:color="000000" w:sz="4" w:space="0"/>
              <w:left w:val="single" w:color="000000" w:sz="4" w:space="0"/>
              <w:bottom w:val="single" w:color="000000" w:sz="8" w:space="0"/>
              <w:right w:val="single" w:color="000000" w:sz="4" w:space="0"/>
            </w:tcBorders>
            <w:tcW w:w="116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single" w:color="000000" w:sz="4" w:space="0"/>
              <w:left w:val="single" w:color="000000" w:sz="4" w:space="0"/>
              <w:bottom w:val="single" w:color="000000" w:sz="8" w:space="0"/>
              <w:right w:val="single" w:color="000000" w:sz="8" w:space="0"/>
            </w:tcBorders>
            <w:tcW w:w="865"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691"/>
        </w:trPr>
        <w:tc>
          <w:tcPr>
            <w:gridSpan w:val="33"/>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val="false"/>
          </w:tcPr>
          <w:p>
            <w:pPr>
              <w:jc w:val="center"/>
              <w:widowControl/>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其他项目清单与计价汇总表</w:t>
            </w:r>
            <w:r/>
          </w:p>
        </w:tc>
      </w:tr>
      <w:tr>
        <w:trPr>
          <w:gridAfter w:val="1"/>
          <w:trHeight w:val="353"/>
        </w:trPr>
        <w:tc>
          <w:tcPr>
            <w:gridSpan w:val="18"/>
            <w:shd w:val="clear" w:color="auto" w:fill="auto"/>
            <w:tcBorders>
              <w:top w:val="none" w:color="000000" w:sz="4" w:space="0"/>
              <w:left w:val="none" w:color="000000" w:sz="4" w:space="0"/>
              <w:bottom w:val="single" w:color="000000" w:sz="8" w:space="0"/>
              <w:right w:val="none" w:color="000000" w:sz="4" w:space="0"/>
            </w:tcBorders>
            <w:tcW w:w="6118"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工程名称：安装工程</w:t>
            </w:r>
            <w:r/>
          </w:p>
        </w:tc>
        <w:tc>
          <w:tcPr>
            <w:gridSpan w:val="9"/>
            <w:shd w:val="clear" w:color="auto" w:fill="auto"/>
            <w:tcBorders>
              <w:top w:val="none" w:color="000000" w:sz="4" w:space="0"/>
              <w:left w:val="none" w:color="000000" w:sz="4" w:space="0"/>
              <w:bottom w:val="single" w:color="000000" w:sz="8" w:space="0"/>
              <w:right w:val="none" w:color="000000" w:sz="4" w:space="0"/>
            </w:tcBorders>
            <w:tcW w:w="1663"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标段：</w:t>
            </w:r>
            <w:r/>
          </w:p>
        </w:tc>
        <w:tc>
          <w:tcPr>
            <w:gridSpan w:val="6"/>
            <w:shd w:val="clear" w:color="auto" w:fill="auto"/>
            <w:tcBorders>
              <w:top w:val="none" w:color="000000" w:sz="4" w:space="0"/>
              <w:left w:val="none" w:color="000000" w:sz="4" w:space="0"/>
              <w:bottom w:val="single" w:color="000000" w:sz="8" w:space="0"/>
              <w:right w:val="none" w:color="000000" w:sz="4" w:space="0"/>
            </w:tcBorders>
            <w:tcW w:w="2057" w:type="dxa"/>
            <w:vAlign w:val="center"/>
            <w:textDirection w:val="lrTb"/>
            <w:noWrap w:val="false"/>
          </w:tcPr>
          <w:p>
            <w:pPr>
              <w:jc w:val="righ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第1页 共1页</w:t>
            </w:r>
            <w:r/>
          </w:p>
        </w:tc>
      </w:tr>
      <w:tr>
        <w:trPr>
          <w:gridAfter w:val="1"/>
          <w:trHeight w:val="338"/>
        </w:trPr>
        <w:tc>
          <w:tcPr>
            <w:gridSpan w:val="4"/>
            <w:shd w:val="clear" w:color="auto" w:fill="ffffff"/>
            <w:tcBorders>
              <w:top w:val="single" w:color="000000" w:sz="8" w:space="0"/>
              <w:left w:val="single" w:color="000000" w:sz="8" w:space="0"/>
              <w:bottom w:val="single" w:color="000000" w:sz="4" w:space="0"/>
              <w:right w:val="single" w:color="000000" w:sz="4" w:space="0"/>
            </w:tcBorders>
            <w:tcW w:w="1161"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序号</w:t>
            </w:r>
            <w:r/>
          </w:p>
        </w:tc>
        <w:tc>
          <w:tcPr>
            <w:gridSpan w:val="6"/>
            <w:shd w:val="clear" w:color="auto" w:fill="ffffff"/>
            <w:tcBorders>
              <w:top w:val="single" w:color="000000" w:sz="8" w:space="0"/>
              <w:left w:val="single" w:color="000000" w:sz="4" w:space="0"/>
              <w:bottom w:val="single" w:color="000000" w:sz="4" w:space="0"/>
              <w:right w:val="single" w:color="000000" w:sz="4" w:space="0"/>
            </w:tcBorders>
            <w:tcW w:w="3309"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项目名称</w:t>
            </w:r>
            <w:r/>
          </w:p>
        </w:tc>
        <w:tc>
          <w:tcPr>
            <w:gridSpan w:val="8"/>
            <w:shd w:val="clear" w:color="auto" w:fill="ffffff"/>
            <w:tcBorders>
              <w:top w:val="single" w:color="000000" w:sz="8" w:space="0"/>
              <w:left w:val="single" w:color="000000" w:sz="4" w:space="0"/>
              <w:bottom w:val="single" w:color="000000" w:sz="4" w:space="0"/>
              <w:right w:val="single" w:color="000000" w:sz="4" w:space="0"/>
            </w:tcBorders>
            <w:tcW w:w="1648"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金额(元)</w:t>
            </w:r>
            <w:r/>
          </w:p>
        </w:tc>
        <w:tc>
          <w:tcPr>
            <w:gridSpan w:val="9"/>
            <w:shd w:val="clear" w:color="auto" w:fill="ffffff"/>
            <w:tcBorders>
              <w:top w:val="single" w:color="000000" w:sz="8" w:space="0"/>
              <w:left w:val="single" w:color="000000" w:sz="4" w:space="0"/>
              <w:bottom w:val="single" w:color="000000" w:sz="4" w:space="0"/>
              <w:right w:val="single" w:color="000000" w:sz="4" w:space="0"/>
            </w:tcBorders>
            <w:tcW w:w="1663"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结算金额(元)</w:t>
            </w:r>
            <w:r/>
          </w:p>
        </w:tc>
        <w:tc>
          <w:tcPr>
            <w:gridSpan w:val="6"/>
            <w:shd w:val="clear" w:color="auto" w:fill="ffffff"/>
            <w:tcBorders>
              <w:top w:val="single" w:color="000000" w:sz="8" w:space="0"/>
              <w:left w:val="single" w:color="000000" w:sz="4" w:space="0"/>
              <w:bottom w:val="single" w:color="000000" w:sz="4" w:space="0"/>
              <w:right w:val="single" w:color="000000" w:sz="8" w:space="0"/>
            </w:tcBorders>
            <w:tcW w:w="2057"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备注</w:t>
            </w:r>
            <w:r/>
          </w:p>
        </w:tc>
      </w:tr>
      <w:tr>
        <w:trPr>
          <w:gridAfter w:val="1"/>
          <w:trHeight w:val="353"/>
        </w:trPr>
        <w:tc>
          <w:tcPr>
            <w:gridSpan w:val="4"/>
            <w:shd w:val="clear" w:color="auto" w:fill="auto"/>
            <w:tcBorders>
              <w:top w:val="single" w:color="000000" w:sz="4" w:space="0"/>
              <w:left w:val="single" w:color="000000" w:sz="8" w:space="0"/>
              <w:bottom w:val="single" w:color="000000" w:sz="4" w:space="0"/>
              <w:right w:val="single" w:color="000000" w:sz="4" w:space="0"/>
            </w:tcBorders>
            <w:tcW w:w="11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暂列金额</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8" w:space="0"/>
            </w:tcBorders>
            <w:tcW w:w="2057"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4"/>
            <w:shd w:val="clear" w:color="auto" w:fill="auto"/>
            <w:tcBorders>
              <w:top w:val="single" w:color="000000" w:sz="4" w:space="0"/>
              <w:left w:val="single" w:color="000000" w:sz="8" w:space="0"/>
              <w:bottom w:val="single" w:color="000000" w:sz="4" w:space="0"/>
              <w:right w:val="single" w:color="000000" w:sz="4" w:space="0"/>
            </w:tcBorders>
            <w:tcW w:w="11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暂估价</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8" w:space="0"/>
            </w:tcBorders>
            <w:tcW w:w="2057"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38"/>
        </w:trPr>
        <w:tc>
          <w:tcPr>
            <w:gridSpan w:val="4"/>
            <w:shd w:val="clear" w:color="auto" w:fill="auto"/>
            <w:tcBorders>
              <w:top w:val="single" w:color="000000" w:sz="4" w:space="0"/>
              <w:left w:val="single" w:color="000000" w:sz="8" w:space="0"/>
              <w:bottom w:val="single" w:color="000000" w:sz="4" w:space="0"/>
              <w:right w:val="single" w:color="000000" w:sz="4" w:space="0"/>
            </w:tcBorders>
            <w:tcW w:w="11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2.1</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材料暂估价</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8" w:space="0"/>
            </w:tcBorders>
            <w:tcW w:w="2057"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4"/>
            <w:shd w:val="clear" w:color="auto" w:fill="auto"/>
            <w:tcBorders>
              <w:top w:val="single" w:color="000000" w:sz="4" w:space="0"/>
              <w:left w:val="single" w:color="000000" w:sz="8" w:space="0"/>
              <w:bottom w:val="single" w:color="000000" w:sz="4" w:space="0"/>
              <w:right w:val="single" w:color="000000" w:sz="4" w:space="0"/>
            </w:tcBorders>
            <w:tcW w:w="11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2.2</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专业工程暂估价</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8" w:space="0"/>
            </w:tcBorders>
            <w:tcW w:w="2057"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53"/>
        </w:trPr>
        <w:tc>
          <w:tcPr>
            <w:gridSpan w:val="4"/>
            <w:shd w:val="clear" w:color="auto" w:fill="auto"/>
            <w:tcBorders>
              <w:top w:val="single" w:color="000000" w:sz="4" w:space="0"/>
              <w:left w:val="single" w:color="000000" w:sz="8" w:space="0"/>
              <w:bottom w:val="single" w:color="000000" w:sz="4" w:space="0"/>
              <w:right w:val="single" w:color="000000" w:sz="4" w:space="0"/>
            </w:tcBorders>
            <w:tcW w:w="11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计日工</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8" w:space="0"/>
            </w:tcBorders>
            <w:tcW w:w="2057"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338"/>
        </w:trPr>
        <w:tc>
          <w:tcPr>
            <w:gridSpan w:val="4"/>
            <w:shd w:val="clear" w:color="auto" w:fill="auto"/>
            <w:tcBorders>
              <w:top w:val="single" w:color="000000" w:sz="4" w:space="0"/>
              <w:left w:val="single" w:color="000000" w:sz="8" w:space="0"/>
              <w:bottom w:val="single" w:color="000000" w:sz="4" w:space="0"/>
              <w:right w:val="single" w:color="000000" w:sz="4" w:space="0"/>
            </w:tcBorders>
            <w:tcW w:w="11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总承包服务费</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8" w:space="0"/>
            </w:tcBorders>
            <w:tcW w:w="2057"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441"/>
        </w:trPr>
        <w:tc>
          <w:tcPr>
            <w:gridSpan w:val="10"/>
            <w:shd w:val="clear" w:color="auto" w:fill="auto"/>
            <w:tcBorders>
              <w:top w:val="single" w:color="000000" w:sz="4" w:space="0"/>
              <w:left w:val="single" w:color="000000" w:sz="8" w:space="0"/>
              <w:bottom w:val="single" w:color="000000" w:sz="8" w:space="0"/>
              <w:right w:val="single" w:color="000000" w:sz="4" w:space="0"/>
            </w:tcBorders>
            <w:tcW w:w="447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合  计</w:t>
            </w:r>
            <w:r/>
          </w:p>
        </w:tc>
        <w:tc>
          <w:tcPr>
            <w:gridSpan w:val="8"/>
            <w:shd w:val="clear" w:color="auto" w:fill="auto"/>
            <w:tcBorders>
              <w:top w:val="single" w:color="000000" w:sz="4" w:space="0"/>
              <w:left w:val="single" w:color="000000" w:sz="4" w:space="0"/>
              <w:bottom w:val="single" w:color="000000" w:sz="8" w:space="0"/>
              <w:right w:val="single" w:color="000000" w:sz="4" w:space="0"/>
            </w:tcBorders>
            <w:tcW w:w="1648"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9"/>
            <w:shd w:val="clear" w:color="auto" w:fill="auto"/>
            <w:tcBorders>
              <w:top w:val="single" w:color="000000" w:sz="4" w:space="0"/>
              <w:left w:val="single" w:color="000000" w:sz="4" w:space="0"/>
              <w:bottom w:val="single" w:color="000000" w:sz="8" w:space="0"/>
              <w:right w:val="single" w:color="000000" w:sz="4" w:space="0"/>
            </w:tcBorders>
            <w:tcW w:w="166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8" w:space="0"/>
              <w:right w:val="single" w:color="000000" w:sz="8" w:space="0"/>
            </w:tcBorders>
            <w:tcW w:w="2057"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691"/>
        </w:trPr>
        <w:tc>
          <w:tcPr>
            <w:gridSpan w:val="33"/>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val="false"/>
          </w:tcPr>
          <w:p>
            <w:pPr>
              <w:jc w:val="center"/>
              <w:widowControl/>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规费、税金项目计价表</w:t>
            </w:r>
            <w:r/>
          </w:p>
        </w:tc>
      </w:tr>
      <w:tr>
        <w:trPr>
          <w:gridAfter w:val="1"/>
          <w:trHeight w:val="353"/>
        </w:trPr>
        <w:tc>
          <w:tcPr>
            <w:gridSpan w:val="17"/>
            <w:shd w:val="clear" w:color="auto" w:fill="auto"/>
            <w:tcBorders>
              <w:top w:val="none" w:color="000000" w:sz="4" w:space="0"/>
              <w:left w:val="none" w:color="000000" w:sz="4" w:space="0"/>
              <w:bottom w:val="single" w:color="000000" w:sz="8" w:space="0"/>
              <w:right w:val="none" w:color="000000" w:sz="4" w:space="0"/>
            </w:tcBorders>
            <w:tcW w:w="6053"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工程名称：安装工程</w:t>
            </w:r>
            <w:r/>
          </w:p>
        </w:tc>
        <w:tc>
          <w:tcPr>
            <w:gridSpan w:val="6"/>
            <w:shd w:val="clear" w:color="auto" w:fill="auto"/>
            <w:tcBorders>
              <w:top w:val="none" w:color="000000" w:sz="4" w:space="0"/>
              <w:left w:val="none" w:color="000000" w:sz="4" w:space="0"/>
              <w:bottom w:val="single" w:color="000000" w:sz="8" w:space="0"/>
              <w:right w:val="none" w:color="000000" w:sz="4" w:space="0"/>
            </w:tcBorders>
            <w:tcW w:w="1541" w:type="dxa"/>
            <w:vAlign w:val="center"/>
            <w:textDirection w:val="lrTb"/>
            <w:noWrap w:val="false"/>
          </w:tcPr>
          <w:p>
            <w:pPr>
              <w:jc w:val="lef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标段：</w:t>
            </w:r>
            <w:r/>
          </w:p>
        </w:tc>
        <w:tc>
          <w:tcPr>
            <w:gridSpan w:val="10"/>
            <w:shd w:val="clear" w:color="auto" w:fill="auto"/>
            <w:tcBorders>
              <w:top w:val="none" w:color="000000" w:sz="4" w:space="0"/>
              <w:left w:val="none" w:color="000000" w:sz="4" w:space="0"/>
              <w:bottom w:val="single" w:color="000000" w:sz="8" w:space="0"/>
              <w:right w:val="none" w:color="000000" w:sz="4" w:space="0"/>
            </w:tcBorders>
            <w:tcW w:w="2244" w:type="dxa"/>
            <w:vAlign w:val="center"/>
            <w:textDirection w:val="lrTb"/>
            <w:noWrap w:val="false"/>
          </w:tcPr>
          <w:p>
            <w:pPr>
              <w:jc w:val="right"/>
              <w:widowControl/>
              <w:rPr>
                <w:rFonts w:ascii="黑体" w:hAnsi="宋体" w:eastAsia="黑体" w:cs="黑体"/>
                <w:color w:val="000000" w:themeColor="text1"/>
                <w:sz w:val="18"/>
                <w:szCs w:val="18"/>
                <w:highlight w:val="none"/>
              </w:rPr>
            </w:pPr>
            <w:r>
              <w:rPr>
                <w:rFonts w:hint="eastAsia" w:ascii="黑体" w:hAnsi="宋体" w:eastAsia="黑体" w:cs="黑体"/>
                <w:color w:val="000000" w:themeColor="text1"/>
                <w:sz w:val="18"/>
                <w:szCs w:val="18"/>
                <w:highlight w:val="none"/>
              </w:rPr>
              <w:t xml:space="preserve">第1页 共1页</w:t>
            </w:r>
            <w:r/>
          </w:p>
        </w:tc>
      </w:tr>
      <w:tr>
        <w:trPr>
          <w:gridAfter w:val="1"/>
          <w:trHeight w:val="559"/>
        </w:trPr>
        <w:tc>
          <w:tcPr>
            <w:gridSpan w:val="3"/>
            <w:shd w:val="clear" w:color="auto" w:fill="ffffff"/>
            <w:tcBorders>
              <w:top w:val="single" w:color="000000" w:sz="8" w:space="0"/>
              <w:left w:val="single" w:color="000000" w:sz="8" w:space="0"/>
              <w:bottom w:val="single" w:color="000000" w:sz="4" w:space="0"/>
              <w:right w:val="single" w:color="000000" w:sz="4" w:space="0"/>
            </w:tcBorders>
            <w:tcW w:w="770"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序号</w:t>
            </w:r>
            <w:r/>
          </w:p>
        </w:tc>
        <w:tc>
          <w:tcPr>
            <w:gridSpan w:val="4"/>
            <w:shd w:val="clear" w:color="auto" w:fill="ffffff"/>
            <w:tcBorders>
              <w:top w:val="single" w:color="000000" w:sz="8"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项目名称</w:t>
            </w:r>
            <w:r/>
          </w:p>
        </w:tc>
        <w:tc>
          <w:tcPr>
            <w:gridSpan w:val="10"/>
            <w:shd w:val="clear" w:color="auto" w:fill="ffffff"/>
            <w:tcBorders>
              <w:top w:val="single" w:color="000000" w:sz="8" w:space="0"/>
              <w:left w:val="single" w:color="000000" w:sz="4" w:space="0"/>
              <w:bottom w:val="single" w:color="000000" w:sz="4" w:space="0"/>
              <w:right w:val="single" w:color="000000" w:sz="4" w:space="0"/>
            </w:tcBorders>
            <w:tcW w:w="3108"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计算基础</w:t>
            </w:r>
            <w:r/>
          </w:p>
        </w:tc>
        <w:tc>
          <w:tcPr>
            <w:gridSpan w:val="6"/>
            <w:shd w:val="clear" w:color="auto" w:fill="ffffff"/>
            <w:tcBorders>
              <w:top w:val="single" w:color="000000" w:sz="8" w:space="0"/>
              <w:left w:val="single" w:color="000000" w:sz="4" w:space="0"/>
              <w:bottom w:val="single" w:color="000000" w:sz="4" w:space="0"/>
              <w:right w:val="single" w:color="000000" w:sz="4" w:space="0"/>
            </w:tcBorders>
            <w:tcW w:w="1541"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计算基数(元)</w:t>
            </w:r>
            <w:r/>
          </w:p>
        </w:tc>
        <w:tc>
          <w:tcPr>
            <w:gridSpan w:val="6"/>
            <w:shd w:val="clear" w:color="auto" w:fill="ffffff"/>
            <w:tcBorders>
              <w:top w:val="single" w:color="000000" w:sz="8" w:space="0"/>
              <w:left w:val="single" w:color="000000" w:sz="4" w:space="0"/>
              <w:bottom w:val="single" w:color="000000" w:sz="4" w:space="0"/>
              <w:right w:val="single" w:color="000000" w:sz="4" w:space="0"/>
            </w:tcBorders>
            <w:tcW w:w="1161"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计算费率(％)</w:t>
            </w:r>
            <w:r/>
          </w:p>
        </w:tc>
        <w:tc>
          <w:tcPr>
            <w:gridSpan w:val="4"/>
            <w:shd w:val="clear" w:color="auto" w:fill="ffffff"/>
            <w:tcBorders>
              <w:top w:val="single" w:color="000000" w:sz="8" w:space="0"/>
              <w:left w:val="single" w:color="000000" w:sz="4" w:space="0"/>
              <w:bottom w:val="single" w:color="000000" w:sz="4" w:space="0"/>
              <w:right w:val="single" w:color="000000" w:sz="8" w:space="0"/>
            </w:tcBorders>
            <w:tcW w:w="1083" w:type="dxa"/>
            <w:vAlign w:val="center"/>
            <w:textDirection w:val="lrTb"/>
            <w:noWrap w:val="false"/>
          </w:tcPr>
          <w:p>
            <w:pPr>
              <w:jc w:val="center"/>
              <w:widowControl/>
              <w:rPr>
                <w:rFonts w:ascii="黑体" w:hAnsi="宋体" w:eastAsia="黑体" w:cs="黑体"/>
                <w:b/>
                <w:bCs/>
                <w:color w:val="000000" w:themeColor="text1"/>
                <w:sz w:val="18"/>
                <w:szCs w:val="18"/>
                <w:highlight w:val="none"/>
              </w:rPr>
            </w:pPr>
            <w:r>
              <w:rPr>
                <w:rFonts w:hint="eastAsia" w:ascii="黑体" w:hAnsi="宋体" w:eastAsia="黑体" w:cs="黑体"/>
                <w:b/>
                <w:bCs/>
                <w:color w:val="000000" w:themeColor="text1"/>
                <w:sz w:val="18"/>
                <w:szCs w:val="18"/>
                <w:highlight w:val="none"/>
              </w:rPr>
              <w:t xml:space="preserve">金额(元)</w:t>
            </w:r>
            <w:r/>
          </w:p>
        </w:tc>
      </w:tr>
      <w:tr>
        <w:trPr>
          <w:gridAfter w:val="1"/>
          <w:trHeight w:val="353"/>
        </w:trPr>
        <w:tc>
          <w:tcPr>
            <w:gridSpan w:val="3"/>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规费</w:t>
            </w:r>
            <w:r/>
          </w:p>
        </w:tc>
        <w:tc>
          <w:tcPr>
            <w:gridSpan w:val="10"/>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100.000</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0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gridSpan w:val="3"/>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社会保险费</w:t>
            </w:r>
            <w:r/>
          </w:p>
        </w:tc>
        <w:tc>
          <w:tcPr>
            <w:gridSpan w:val="10"/>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分部分项工程费+措施项目费+其他项目费-除税工程设备费</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2.400</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0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gridSpan w:val="3"/>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住房公积金</w:t>
            </w:r>
            <w:r/>
          </w:p>
        </w:tc>
        <w:tc>
          <w:tcPr>
            <w:gridSpan w:val="10"/>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分部分项工程费+措施项目费+其他项目费-除税工程设备费</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0.420</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0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559"/>
        </w:trPr>
        <w:tc>
          <w:tcPr>
            <w:gridSpan w:val="3"/>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环境保护税</w:t>
            </w:r>
            <w:r/>
          </w:p>
        </w:tc>
        <w:tc>
          <w:tcPr>
            <w:gridSpan w:val="10"/>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分部分项工程费+措施项目费+其他项目费-除税工程设备费</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0.100</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0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809"/>
        </w:trPr>
        <w:tc>
          <w:tcPr>
            <w:gridSpan w:val="3"/>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税金</w:t>
            </w:r>
            <w:r/>
          </w:p>
        </w:tc>
        <w:tc>
          <w:tcPr>
            <w:gridSpan w:val="10"/>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分部分项工程费+措施项目费+其他项目费+规费-除税甲供材料和甲供设备费/1.01</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9.000</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0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gridAfter w:val="1"/>
          <w:trHeight w:val="441"/>
        </w:trPr>
        <w:tc>
          <w:tcPr>
            <w:gridSpan w:val="29"/>
            <w:shd w:val="clear" w:color="auto" w:fill="auto"/>
            <w:tcBorders>
              <w:top w:val="single" w:color="000000" w:sz="4" w:space="0"/>
              <w:left w:val="single" w:color="000000" w:sz="8" w:space="0"/>
              <w:bottom w:val="single" w:color="000000" w:sz="8" w:space="0"/>
              <w:right w:val="single" w:color="000000" w:sz="4" w:space="0"/>
            </w:tcBorders>
            <w:tcW w:w="875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合  计</w:t>
            </w:r>
            <w:r/>
          </w:p>
        </w:tc>
        <w:tc>
          <w:tcPr>
            <w:gridSpan w:val="4"/>
            <w:shd w:val="clear" w:color="auto" w:fill="auto"/>
            <w:tcBorders>
              <w:top w:val="single" w:color="000000" w:sz="4" w:space="0"/>
              <w:left w:val="single" w:color="000000" w:sz="4" w:space="0"/>
              <w:bottom w:val="single" w:color="000000" w:sz="8" w:space="0"/>
              <w:right w:val="single" w:color="000000" w:sz="8" w:space="0"/>
            </w:tcBorders>
            <w:tcW w:w="1083" w:type="dxa"/>
            <w:vAlign w:val="center"/>
            <w:textDirection w:val="lrTb"/>
            <w:noWrap w:val="false"/>
          </w:tcPr>
          <w:p>
            <w:pPr>
              <w:jc w:val="right"/>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bl>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工程量清单下载链接：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链接: https://pan.baidu.com/s/1gdWlw3zweeUPd8AW-nMZnA?pwd=n31i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提取码: n31i</w:t>
      </w:r>
      <w:r>
        <w:rPr>
          <w:rFonts w:ascii="SimSun" w:hAnsi="SimSun" w:eastAsia="SimSun" w:cs="SimSun"/>
          <w:sz w:val="24"/>
        </w:rPr>
      </w:r>
      <w:r/>
    </w:p>
    <w:p>
      <w:pPr>
        <w:pStyle w:val="803"/>
        <w:jc w:val="both"/>
        <w:spacing w:beforeAutospacing="0" w:afterAutospacing="0"/>
        <w:rPr>
          <w:rFonts w:hint="eastAsia"/>
          <w:color w:val="000000" w:themeColor="text1"/>
          <w:sz w:val="21"/>
          <w:szCs w:val="21"/>
          <w:highlight w:val="none"/>
        </w:rPr>
      </w:pPr>
      <w:r>
        <w:rPr>
          <w:rFonts w:hint="eastAsia"/>
          <w:color w:val="000000" w:themeColor="text1"/>
          <w:sz w:val="21"/>
          <w:szCs w:val="21"/>
          <w:highlight w:val="none"/>
        </w:rPr>
        <w:t xml:space="preserve">三、施工组织方案</w:t>
      </w:r>
      <w:r/>
    </w:p>
    <w:p>
      <w:pPr>
        <w:ind w:firstLine="422"/>
        <w:spacing w:line="5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投标人应根据采购需求和本项目实际要求，制订相应的实施方案至少包含以下内容：</w:t>
      </w:r>
      <w:r/>
    </w:p>
    <w:p>
      <w:pPr>
        <w:ind w:firstLine="422"/>
        <w:spacing w:line="5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1、投标人根据本项目总体要求，提供科学合理的</w:t>
      </w:r>
      <w:r>
        <w:rPr>
          <w:rFonts w:hint="eastAsia" w:ascii="宋体" w:hAnsi="宋体" w:cs="宋体"/>
          <w:b/>
          <w:color w:val="000000" w:themeColor="text1"/>
          <w:szCs w:val="21"/>
          <w:highlight w:val="none"/>
        </w:rPr>
        <w:t xml:space="preserve">施工方案与技术措施</w:t>
      </w:r>
      <w:r>
        <w:rPr>
          <w:rFonts w:hint="eastAsia" w:ascii="宋体" w:hAnsi="宋体" w:cs="宋体"/>
          <w:b/>
          <w:color w:val="000000" w:themeColor="text1"/>
          <w:szCs w:val="21"/>
          <w:highlight w:val="none"/>
        </w:rPr>
        <w:t xml:space="preserve">，进行详细阐述。至少包含以下内容：</w:t>
      </w:r>
      <w:r/>
    </w:p>
    <w:p>
      <w:pPr>
        <w:ind w:firstLine="420"/>
        <w:spacing w:line="50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1.1施工组织与部署</w:t>
      </w:r>
      <w:r/>
    </w:p>
    <w:p>
      <w:pPr>
        <w:numPr>
          <w:ilvl w:val="0"/>
          <w:numId w:val="6"/>
        </w:numPr>
        <w:ind w:firstLine="420"/>
        <w:spacing w:line="36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施工前期准备：材料设备采购及进场计划</w:t>
      </w:r>
      <w:r>
        <w:rPr>
          <w:rFonts w:hint="eastAsia" w:ascii="宋体" w:hAnsi="宋体" w:cs="宋体"/>
          <w:color w:val="000000" w:themeColor="text1"/>
          <w:szCs w:val="21"/>
          <w:highlight w:val="none"/>
        </w:rPr>
        <w:t xml:space="preserve">至少包含</w:t>
      </w:r>
      <w:r>
        <w:rPr>
          <w:rFonts w:ascii="宋体" w:hAnsi="宋体" w:cs="宋体"/>
          <w:color w:val="000000" w:themeColor="text1"/>
          <w:szCs w:val="21"/>
          <w:highlight w:val="none"/>
        </w:rPr>
        <w:t xml:space="preserve">采购计划</w:t>
      </w:r>
      <w:r>
        <w:rPr>
          <w:rFonts w:hint="eastAsia" w:ascii="宋体" w:hAnsi="宋体" w:cs="宋体"/>
          <w:color w:val="000000" w:themeColor="text1"/>
          <w:szCs w:val="21"/>
          <w:highlight w:val="none"/>
        </w:rPr>
        <w:t xml:space="preserve">进场管控、设备进场计划</w:t>
      </w:r>
      <w:r>
        <w:rPr>
          <w:rFonts w:ascii="宋体" w:hAnsi="宋体" w:cs="宋体"/>
          <w:color w:val="000000" w:themeColor="text1"/>
          <w:szCs w:val="21"/>
          <w:highlight w:val="none"/>
        </w:rPr>
        <w:t xml:space="preserve">。采购计划管控：材料设备采购清单需明确规格、数量误差范围（≤±2%），到货时间偏差不超过计划时间 24 小时；进场检验：材料进场后抽样检验比例≥3%，检验合格率100%方可入库；材料进场时间需比施工需求提前3日及以上，延误率0%。</w:t>
      </w:r>
      <w:r>
        <w:rPr>
          <w:rFonts w:hint="eastAsia" w:ascii="宋体" w:hAnsi="宋体" w:cs="宋体"/>
          <w:color w:val="000000" w:themeColor="text1"/>
          <w:szCs w:val="21"/>
          <w:highlight w:val="none"/>
        </w:rPr>
        <w:t xml:space="preserve">设备进场的时间节点、设备的调试与维护计划。</w:t>
      </w:r>
      <w:r/>
    </w:p>
    <w:p>
      <w:pPr>
        <w:pStyle w:val="1097"/>
        <w:ind w:firstLine="480"/>
        <w:spacing w:line="4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（2）施工总体部署规划</w:t>
      </w:r>
      <w:r>
        <w:rPr>
          <w:rFonts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至少包含</w:t>
      </w:r>
      <w:r>
        <w:rPr>
          <w:rFonts w:ascii="宋体" w:hAnsi="宋体" w:cs="宋体"/>
          <w:color w:val="000000" w:themeColor="text1"/>
          <w:szCs w:val="21"/>
          <w:highlight w:val="none"/>
        </w:rPr>
        <w:t xml:space="preserve">施工组织的特点、合理安排进度的特点、施工现场管理、人员管理、安全管理的特点等。</w:t>
      </w:r>
      <w:r>
        <w:rPr>
          <w:rFonts w:hint="eastAsia" w:ascii="宋体" w:hAnsi="宋体" w:cs="宋体"/>
          <w:color w:val="000000" w:themeColor="text1"/>
          <w:szCs w:val="21"/>
          <w:highlight w:val="none"/>
        </w:rPr>
        <w:t xml:space="preserve">施工场地规划与临时设施布置须符合国家及地方的法律法规、行业标准，满足施工生产的基本需求。优先考虑施工安全，设置安全防护设施，保证人员和设备安全。</w:t>
      </w:r>
      <w:r/>
    </w:p>
    <w:p>
      <w:pPr>
        <w:pStyle w:val="1097"/>
        <w:ind w:firstLine="480"/>
        <w:spacing w:line="4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rFonts w:ascii="宋体" w:hAnsi="宋体" w:cs="宋体"/>
          <w:color w:val="000000" w:themeColor="text1"/>
          <w:szCs w:val="21"/>
          <w:highlight w:val="none"/>
        </w:rPr>
        <w:t xml:space="preserve">工程项目组织机构：</w:t>
      </w:r>
      <w:r>
        <w:rPr>
          <w:rFonts w:hint="eastAsia" w:ascii="宋体" w:hAnsi="宋体" w:cs="宋体"/>
          <w:color w:val="000000" w:themeColor="text1"/>
          <w:szCs w:val="21"/>
          <w:highlight w:val="none"/>
        </w:rPr>
        <w:t xml:space="preserve">至少包含</w:t>
      </w:r>
      <w:r>
        <w:rPr>
          <w:rFonts w:ascii="宋体" w:hAnsi="宋体" w:cs="宋体"/>
          <w:color w:val="000000" w:themeColor="text1"/>
          <w:szCs w:val="21"/>
          <w:highlight w:val="none"/>
        </w:rPr>
        <w:t xml:space="preserve">项目经理的职责、项目施工工长的岗位职责、材料员的岗位职责、安全保卫部的职责等。</w:t>
      </w:r>
      <w:r>
        <w:rPr>
          <w:rFonts w:hint="eastAsia" w:ascii="宋体" w:hAnsi="宋体" w:cs="宋体"/>
          <w:color w:val="000000" w:themeColor="text1"/>
          <w:szCs w:val="21"/>
          <w:highlight w:val="none"/>
        </w:rPr>
        <w:t xml:space="preserve">建立“项目决策层-现场管理组-施工班组”三级管理层级，现场管理组需包含安全管理岗，安全职责条款明确率100%。机构设置及人员配备需符合法律法规及行业规范，满足项目所属行业的强制要求；项目经理需持有注册建造师证书，施工员、安全员、质量员、材料员、资料员持证</w:t>
      </w:r>
      <w:r>
        <w:rPr>
          <w:rFonts w:hint="eastAsia" w:ascii="宋体" w:hAnsi="宋体" w:cs="宋体"/>
          <w:color w:val="000000" w:themeColor="text1"/>
          <w:szCs w:val="21"/>
          <w:highlight w:val="none"/>
        </w:rPr>
        <w:t xml:space="preserve">上岗。</w:t>
      </w:r>
      <w:r/>
    </w:p>
    <w:p>
      <w:pPr>
        <w:pStyle w:val="1097"/>
        <w:ind w:firstLine="480"/>
        <w:spacing w:line="4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施工部署设计：至少包含施工顺序的安排，各工种、各工序之间的协调，以及水电安装施工和装饰施工的穿插安排。明确各工序负责人，合理调配人力，在关键工序增加施工人员，加快施工速度。人员到位率 100%，缺勤率≤3%。</w:t>
      </w:r>
      <w:r/>
    </w:p>
    <w:p>
      <w:pPr>
        <w:ind w:firstLine="420"/>
        <w:spacing w:line="5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1.2技术措施</w:t>
      </w:r>
      <w:r/>
    </w:p>
    <w:p>
      <w:pPr>
        <w:pStyle w:val="1097"/>
        <w:ind w:firstLine="480"/>
        <w:spacing w:line="4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（1）关键施工技术方案及工艺标准，至少包含</w:t>
      </w:r>
      <w:r>
        <w:rPr>
          <w:rFonts w:ascii="宋体" w:hAnsi="宋体" w:cs="宋体"/>
          <w:color w:val="000000" w:themeColor="text1"/>
          <w:szCs w:val="21"/>
          <w:highlight w:val="none"/>
        </w:rPr>
        <w:t xml:space="preserve">结构加固、局部改造、安全防护</w:t>
      </w:r>
      <w:r>
        <w:rPr>
          <w:rFonts w:hint="eastAsia" w:ascii="宋体" w:hAnsi="宋体" w:cs="宋体"/>
          <w:color w:val="000000" w:themeColor="text1"/>
          <w:szCs w:val="21"/>
          <w:highlight w:val="none"/>
        </w:rPr>
        <w:t xml:space="preserve">等</w:t>
      </w:r>
      <w:r>
        <w:rPr>
          <w:rFonts w:ascii="宋体" w:hAnsi="宋体" w:cs="宋体"/>
          <w:color w:val="000000" w:themeColor="text1"/>
          <w:szCs w:val="21"/>
          <w:highlight w:val="none"/>
        </w:rPr>
        <w:t xml:space="preserve">三大部分</w:t>
      </w:r>
      <w:r>
        <w:rPr>
          <w:rFonts w:hint="eastAsia" w:ascii="宋体" w:hAnsi="宋体" w:cs="宋体"/>
          <w:color w:val="000000" w:themeColor="text1"/>
          <w:szCs w:val="21"/>
          <w:highlight w:val="none"/>
        </w:rPr>
        <w:t xml:space="preserve">等关键施工技术方案。</w:t>
      </w:r>
      <w:r/>
    </w:p>
    <w:p>
      <w:pPr>
        <w:pStyle w:val="1097"/>
        <w:ind w:firstLine="480"/>
        <w:spacing w:line="480" w:lineRule="exact"/>
        <w:rPr>
          <w:color w:val="000000" w:themeColor="text1"/>
          <w:highlight w:val="none"/>
        </w:rPr>
      </w:pPr>
      <w:r>
        <w:rPr>
          <w:rFonts w:hint="eastAsia" w:ascii="宋体" w:hAnsi="宋体" w:cs="宋体"/>
          <w:color w:val="000000" w:themeColor="text1"/>
          <w:szCs w:val="21"/>
          <w:highlight w:val="none"/>
        </w:rPr>
        <w:t xml:space="preserve">（2）技术难点解决方案，至少包含结构安全评估、空间限制优化设计、法规标准遵循、设备升级与兼容性处理、施工现场管理等方面</w:t>
      </w:r>
      <w:r>
        <w:rPr>
          <w:rFonts w:ascii="宋体" w:hAnsi="宋体" w:cs="宋体"/>
          <w:color w:val="000000" w:themeColor="text1"/>
          <w:szCs w:val="21"/>
          <w:highlight w:val="none"/>
        </w:rPr>
        <w:t xml:space="preserve">。</w:t>
      </w:r>
      <w:r/>
    </w:p>
    <w:p>
      <w:pPr>
        <w:ind w:firstLine="420"/>
        <w:spacing w:line="500" w:lineRule="exact"/>
        <w:rPr>
          <w:rFonts w:ascii="宋体" w:hAnsi="宋体" w:cs="宋体"/>
          <w:color w:val="000000" w:themeColor="text1"/>
          <w:szCs w:val="21"/>
          <w:highlight w:val="none"/>
          <w:lang w:val="zh-CN"/>
        </w:rPr>
      </w:pPr>
      <w:r>
        <w:rPr>
          <w:rFonts w:hint="eastAsia" w:ascii="宋体" w:hAnsi="宋体" w:cs="宋体"/>
          <w:color w:val="000000" w:themeColor="text1"/>
          <w:szCs w:val="21"/>
          <w:highlight w:val="none"/>
        </w:rPr>
        <w:t xml:space="preserve">1.3</w:t>
      </w:r>
      <w:r>
        <w:rPr>
          <w:rFonts w:hint="eastAsia" w:ascii="宋体" w:hAnsi="宋体" w:cs="宋体"/>
          <w:color w:val="000000" w:themeColor="text1"/>
          <w:szCs w:val="21"/>
          <w:highlight w:val="none"/>
          <w:lang w:val="zh-CN"/>
        </w:rPr>
        <w:t xml:space="preserve">项目安全措施</w:t>
      </w:r>
      <w:r/>
    </w:p>
    <w:p>
      <w:pPr>
        <w:ind w:firstLine="482"/>
        <w:spacing w:line="440" w:lineRule="exact"/>
        <w:tabs>
          <w:tab w:val="left" w:pos="0" w:leader="none"/>
        </w:tabs>
        <w:rPr>
          <w:rFonts w:ascii="宋体" w:hAnsi="宋体" w:cs="宋体"/>
          <w:color w:val="000000" w:themeColor="text1"/>
          <w:szCs w:val="21"/>
          <w:highlight w:val="none"/>
        </w:rPr>
      </w:pPr>
      <w:r>
        <w:rPr>
          <w:rFonts w:ascii="宋体" w:hAnsi="宋体" w:cs="宋体"/>
          <w:color w:val="000000" w:themeColor="text1"/>
          <w:szCs w:val="21"/>
          <w:highlight w:val="none"/>
        </w:rPr>
        <w:t xml:space="preserve">安全管理应建立专门的安全管理组织，</w:t>
      </w:r>
      <w:r>
        <w:rPr>
          <w:rFonts w:hint="eastAsia" w:ascii="宋体" w:hAnsi="宋体" w:cs="宋体"/>
          <w:color w:val="000000" w:themeColor="text1"/>
          <w:szCs w:val="21"/>
          <w:highlight w:val="none"/>
        </w:rPr>
        <w:t xml:space="preserve">至少包含</w:t>
      </w:r>
      <w:r>
        <w:rPr>
          <w:rFonts w:ascii="宋体" w:hAnsi="宋体" w:cs="宋体"/>
          <w:color w:val="000000" w:themeColor="text1"/>
          <w:szCs w:val="21"/>
          <w:highlight w:val="none"/>
        </w:rPr>
        <w:t xml:space="preserve">项目经理、安全经理、安全员等，并负责改造工程的安全生产保证措施的制定、实施和监督</w:t>
      </w:r>
      <w:r>
        <w:rPr>
          <w:rFonts w:hint="eastAsia" w:ascii="宋体" w:hAnsi="宋体" w:cs="宋体"/>
          <w:color w:val="000000" w:themeColor="text1"/>
          <w:szCs w:val="21"/>
          <w:highlight w:val="none"/>
        </w:rPr>
        <w:t xml:space="preserve">等。</w:t>
      </w:r>
      <w:r/>
    </w:p>
    <w:p>
      <w:pPr>
        <w:pStyle w:val="1097"/>
        <w:ind w:firstLine="480"/>
        <w:spacing w:line="48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1）安全目标以杜绝重伤及以上安全事故，减少轻伤事故，确保施工人员人身安全和现场设备设施完好，顺利完成改造工程为目标。重伤及以上安全事故发生率0%，轻伤事故频率≤1‰，施工人员安全培训覆盖率100%</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设备设施完好率≥98%。</w:t>
      </w:r>
      <w:r/>
    </w:p>
    <w:p>
      <w:pPr>
        <w:pStyle w:val="1097"/>
        <w:ind w:firstLine="480"/>
        <w:spacing w:line="48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2）明确项目经理为安全第一责任人，配备专职安全员，施工班组设兼职安全员，层层落实安全责任，签订安全责任书。项目开工后7日内完成安全责任书签订，签订率100%；专职安全员持证上岗率100%，施工班组每20人至少设1名兼职安全员，兼职安全员培训考核合格率100%。</w:t>
      </w:r>
      <w:r/>
    </w:p>
    <w:p>
      <w:pPr>
        <w:pStyle w:val="1097"/>
        <w:ind w:firstLine="480"/>
        <w:spacing w:line="480" w:lineRule="exact"/>
        <w:rPr>
          <w:rFonts w:ascii="宋体" w:hAnsi="宋体" w:cs="宋体"/>
          <w:color w:val="000000" w:themeColor="text1"/>
          <w:szCs w:val="21"/>
          <w:highlight w:val="none"/>
          <w:lang w:val="zh-CN"/>
        </w:rPr>
      </w:pPr>
      <w:r>
        <w:rPr>
          <w:rFonts w:ascii="宋体" w:hAnsi="宋体" w:cs="宋体"/>
          <w:color w:val="000000" w:themeColor="text1"/>
          <w:szCs w:val="21"/>
          <w:highlight w:val="none"/>
        </w:rPr>
        <w:t xml:space="preserve">（3）建立安全生产教育培训制度、安全检查制度、隐患排查整改制度、应急管理制度等，规范施工安全管理流程。制度备案完成时间≤项目开工后15天，各项安全记录留存率100%。</w:t>
      </w:r>
      <w:r/>
    </w:p>
    <w:p>
      <w:pPr>
        <w:ind w:firstLine="420"/>
        <w:spacing w:line="500" w:lineRule="exact"/>
        <w:rPr>
          <w:rFonts w:ascii="宋体" w:hAnsi="宋体" w:cs="宋体"/>
          <w:bCs/>
          <w:color w:val="000000" w:themeColor="text1"/>
          <w:szCs w:val="21"/>
          <w:highlight w:val="none"/>
          <w:lang w:val="zh-CN"/>
        </w:rPr>
      </w:pPr>
      <w:r>
        <w:rPr>
          <w:rFonts w:hint="eastAsia" w:ascii="宋体" w:hAnsi="宋体" w:cs="宋体"/>
          <w:color w:val="000000" w:themeColor="text1"/>
          <w:szCs w:val="21"/>
          <w:highlight w:val="none"/>
        </w:rPr>
        <w:t xml:space="preserve">1.4</w:t>
      </w:r>
      <w:r>
        <w:rPr>
          <w:rFonts w:hint="eastAsia" w:ascii="宋体" w:hAnsi="宋体" w:cs="宋体"/>
          <w:bCs/>
          <w:color w:val="000000" w:themeColor="text1"/>
          <w:szCs w:val="21"/>
          <w:highlight w:val="none"/>
          <w:lang w:val="zh-CN"/>
        </w:rPr>
        <w:t xml:space="preserve">科学施工工艺</w:t>
      </w:r>
      <w:r/>
    </w:p>
    <w:p>
      <w:pPr>
        <w:ind w:firstLine="482"/>
        <w:spacing w:line="440" w:lineRule="exact"/>
        <w:tabs>
          <w:tab w:val="left" w:pos="0" w:leader="none"/>
        </w:tabs>
        <w:rPr>
          <w:color w:val="000000" w:themeColor="text1"/>
          <w:highlight w:val="none"/>
        </w:rPr>
      </w:pPr>
      <w:r>
        <w:rPr>
          <w:rFonts w:hint="eastAsia" w:ascii="汉仪书宋二S" w:hAnsi="汉仪书宋二S" w:eastAsia="汉仪书宋二S" w:cs="汉仪书宋二S"/>
          <w:bCs/>
          <w:color w:val="000000" w:themeColor="text1"/>
          <w:szCs w:val="21"/>
          <w:highlight w:val="none"/>
        </w:rPr>
        <w:t xml:space="preserve">强化</w:t>
      </w:r>
      <w:r>
        <w:rPr>
          <w:rFonts w:ascii="汉仪书宋二S" w:hAnsi="汉仪书宋二S" w:eastAsia="汉仪书宋二S" w:cs="汉仪书宋二S"/>
          <w:bCs/>
          <w:color w:val="000000" w:themeColor="text1"/>
          <w:szCs w:val="21"/>
          <w:highlight w:val="none"/>
        </w:rPr>
        <w:t xml:space="preserve">各工序质量控制</w:t>
      </w:r>
      <w:r>
        <w:rPr>
          <w:rFonts w:hint="eastAsia" w:ascii="汉仪书宋二S" w:hAnsi="汉仪书宋二S" w:eastAsia="汉仪书宋二S" w:cs="汉仪书宋二S"/>
          <w:bCs/>
          <w:color w:val="000000" w:themeColor="text1"/>
          <w:szCs w:val="21"/>
          <w:highlight w:val="none"/>
        </w:rPr>
        <w:t xml:space="preserve">，遵循“先隐蔽后饰面、先预埋后安装、先湿作业后干作业”的原则，在前期准备阶段，强化图纸会审、技术交底、</w:t>
      </w:r>
      <w:r>
        <w:rPr>
          <w:rFonts w:ascii="汉仪书宋二S" w:hAnsi="汉仪书宋二S" w:eastAsia="汉仪书宋二S" w:cs="汉仪书宋二S"/>
          <w:bCs/>
          <w:color w:val="000000" w:themeColor="text1"/>
          <w:szCs w:val="21"/>
          <w:highlight w:val="none"/>
        </w:rPr>
        <w:t xml:space="preserve">拆除作业、</w:t>
      </w:r>
      <w:r>
        <w:rPr>
          <w:rFonts w:hint="eastAsia" w:ascii="汉仪书宋二S" w:hAnsi="汉仪书宋二S" w:eastAsia="汉仪书宋二S" w:cs="汉仪书宋二S"/>
          <w:bCs/>
          <w:color w:val="000000" w:themeColor="text1"/>
          <w:szCs w:val="21"/>
          <w:highlight w:val="none"/>
        </w:rPr>
        <w:t xml:space="preserve">基层检查和处理、材料进场检验等重点工作；隐蔽工程施工阶段，重点强化水电管线预埋、防水工程、吊顶与隔墙龙骨安装等；饰面基层处理阶段，强化墙面地面抹灰、找平；各分项饰面工程阶段，强化按序进行吊顶封板、墙地面铺贴、涂料施工、门窗安装等；收尾与验收阶段，重点强化清洁整理、系统调试、分项及竣工验收。</w:t>
      </w:r>
      <w:r>
        <w:rPr>
          <w:rFonts w:ascii="汉仪书宋二S" w:hAnsi="汉仪书宋二S" w:eastAsia="汉仪书宋二S" w:cs="汉仪书宋二S"/>
          <w:bCs/>
          <w:color w:val="000000" w:themeColor="text1"/>
          <w:szCs w:val="21"/>
          <w:highlight w:val="none"/>
        </w:rPr>
        <w:t xml:space="preserve">各工序自检合格率100%</w:t>
      </w:r>
      <w:r>
        <w:rPr>
          <w:rFonts w:hint="eastAsia" w:ascii="汉仪书宋二S" w:hAnsi="汉仪书宋二S" w:eastAsia="汉仪书宋二S" w:cs="汉仪书宋二S"/>
          <w:bCs/>
          <w:color w:val="000000" w:themeColor="text1"/>
          <w:szCs w:val="21"/>
          <w:highlight w:val="none"/>
        </w:rPr>
        <w:t xml:space="preserve">；</w:t>
      </w:r>
      <w:r>
        <w:rPr>
          <w:rFonts w:ascii="汉仪书宋二S" w:hAnsi="汉仪书宋二S" w:eastAsia="汉仪书宋二S" w:cs="汉仪书宋二S"/>
          <w:bCs/>
          <w:color w:val="000000" w:themeColor="text1"/>
          <w:szCs w:val="21"/>
          <w:highlight w:val="none"/>
        </w:rPr>
        <w:t xml:space="preserve">专检合格率100%，未验收合格不得进入下道工序。</w:t>
      </w:r>
      <w:r/>
    </w:p>
    <w:p>
      <w:pPr>
        <w:ind w:firstLine="422"/>
        <w:spacing w:line="5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2、投标人根据本项目总体要求，提供科学合理的工程进度计划与保证措施，进行详细阐述。至少包含以下内容：</w:t>
      </w:r>
      <w:r/>
    </w:p>
    <w:p>
      <w:pPr>
        <w:ind w:firstLine="420"/>
        <w:spacing w:line="50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2.1分析施工进度的关键因素</w:t>
      </w:r>
      <w:r/>
    </w:p>
    <w:p>
      <w:pPr>
        <w:ind w:firstLine="420"/>
        <w:spacing w:line="500" w:lineRule="exact"/>
        <w:rPr>
          <w:rFonts w:ascii="宋体" w:hAnsi="宋体" w:cs="宋体"/>
          <w:bCs/>
          <w:color w:val="000000" w:themeColor="text1"/>
          <w:szCs w:val="21"/>
          <w:highlight w:val="none"/>
        </w:rPr>
      </w:pPr>
      <w:r>
        <w:rPr>
          <w:rFonts w:ascii="宋体" w:hAnsi="宋体" w:cs="宋体"/>
          <w:color w:val="000000" w:themeColor="text1"/>
          <w:szCs w:val="21"/>
          <w:highlight w:val="none"/>
        </w:rPr>
        <w:t xml:space="preserve">分析方案内容至少包含</w:t>
      </w:r>
      <w:r>
        <w:rPr>
          <w:rFonts w:hint="eastAsia" w:ascii="宋体" w:hAnsi="宋体" w:cs="宋体"/>
          <w:color w:val="000000" w:themeColor="text1"/>
          <w:szCs w:val="21"/>
          <w:highlight w:val="none"/>
        </w:rPr>
        <w:t xml:space="preserve">：（1）</w:t>
      </w:r>
      <w:r>
        <w:rPr>
          <w:rFonts w:ascii="宋体" w:hAnsi="宋体" w:cs="宋体"/>
          <w:color w:val="000000" w:themeColor="text1"/>
          <w:szCs w:val="21"/>
          <w:highlight w:val="none"/>
        </w:rPr>
        <w:t xml:space="preserve">前期准备阶段；</w:t>
      </w:r>
      <w:r>
        <w:rPr>
          <w:rFonts w:hint="eastAsia" w:ascii="宋体" w:hAnsi="宋体" w:cs="宋体"/>
          <w:color w:val="000000" w:themeColor="text1"/>
          <w:szCs w:val="21"/>
          <w:highlight w:val="none"/>
        </w:rPr>
        <w:t xml:space="preserve">（2）</w:t>
      </w:r>
      <w:r>
        <w:rPr>
          <w:rFonts w:ascii="宋体" w:hAnsi="宋体" w:cs="宋体"/>
          <w:color w:val="000000" w:themeColor="text1"/>
          <w:szCs w:val="21"/>
          <w:highlight w:val="none"/>
        </w:rPr>
        <w:t xml:space="preserve">拆除阶段；</w:t>
      </w:r>
      <w:r>
        <w:rPr>
          <w:rFonts w:hint="eastAsia" w:ascii="宋体" w:hAnsi="宋体" w:cs="宋体"/>
          <w:color w:val="000000" w:themeColor="text1"/>
          <w:szCs w:val="21"/>
          <w:highlight w:val="none"/>
        </w:rPr>
        <w:t xml:space="preserve">（3）改造施工阶段</w:t>
      </w:r>
      <w:r>
        <w:rPr>
          <w:rFonts w:ascii="宋体" w:hAnsi="宋体" w:cs="宋体"/>
          <w:color w:val="000000" w:themeColor="text1"/>
          <w:szCs w:val="21"/>
          <w:highlight w:val="none"/>
        </w:rPr>
        <w:t xml:space="preserve">；</w:t>
      </w: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4</w:t>
      </w:r>
      <w:r>
        <w:rPr>
          <w:rFonts w:hint="eastAsia" w:ascii="宋体" w:hAnsi="宋体" w:cs="宋体"/>
          <w:color w:val="000000" w:themeColor="text1"/>
          <w:szCs w:val="21"/>
          <w:highlight w:val="none"/>
          <w:lang w:val="zh-CN"/>
        </w:rPr>
        <w:t xml:space="preserve">）</w:t>
      </w:r>
      <w:r>
        <w:rPr>
          <w:rFonts w:ascii="宋体" w:hAnsi="宋体" w:cs="宋体"/>
          <w:color w:val="000000" w:themeColor="text1"/>
          <w:szCs w:val="21"/>
          <w:highlight w:val="none"/>
        </w:rPr>
        <w:t xml:space="preserve">理验收阶段等的时间及工序进度计划</w:t>
      </w:r>
      <w:r>
        <w:rPr>
          <w:rFonts w:hint="eastAsia" w:ascii="宋体" w:hAnsi="宋体" w:cs="宋体"/>
          <w:color w:val="000000" w:themeColor="text1"/>
          <w:szCs w:val="21"/>
          <w:highlight w:val="none"/>
        </w:rPr>
        <w:t xml:space="preserve">等</w:t>
      </w:r>
      <w:r>
        <w:rPr>
          <w:rFonts w:ascii="宋体" w:hAnsi="宋体" w:cs="宋体"/>
          <w:color w:val="000000" w:themeColor="text1"/>
          <w:szCs w:val="21"/>
          <w:highlight w:val="none"/>
        </w:rPr>
        <w:t xml:space="preserve">。</w:t>
      </w:r>
      <w:r/>
    </w:p>
    <w:p>
      <w:pPr>
        <w:spacing w:line="440" w:lineRule="exact"/>
        <w:tabs>
          <w:tab w:val="left" w:pos="0" w:leader="none"/>
        </w:tabs>
        <w:rPr>
          <w:rFonts w:ascii="宋体" w:hAnsi="宋体" w:cs="宋体"/>
          <w:bCs/>
          <w:color w:val="000000" w:themeColor="text1"/>
          <w:szCs w:val="21"/>
          <w:highlight w:val="none"/>
          <w:lang w:val="zh-CN"/>
        </w:rPr>
      </w:pPr>
      <w:r>
        <w:rPr>
          <w:rFonts w:hint="eastAsia" w:ascii="宋体" w:hAnsi="宋体" w:cs="宋体"/>
          <w:bCs/>
          <w:color w:val="000000" w:themeColor="text1"/>
          <w:szCs w:val="21"/>
          <w:highlight w:val="none"/>
        </w:rPr>
        <w:t xml:space="preserve">    2.2</w:t>
      </w:r>
      <w:r>
        <w:rPr>
          <w:rFonts w:hint="eastAsia" w:ascii="宋体" w:hAnsi="宋体" w:cs="宋体"/>
          <w:bCs/>
          <w:color w:val="000000" w:themeColor="text1"/>
          <w:szCs w:val="21"/>
          <w:highlight w:val="none"/>
          <w:lang w:val="zh-CN"/>
        </w:rPr>
        <w:t xml:space="preserve">实施计划和工期进度安排</w:t>
      </w:r>
      <w:r/>
    </w:p>
    <w:p>
      <w:pPr>
        <w:pStyle w:val="1097"/>
        <w:spacing w:line="480" w:lineRule="exact"/>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实施计划至少包含筹备、实施、验收三阶段推进，各阶段明确任务与时间节点，同步保障资金、安全与质量。</w:t>
      </w:r>
      <w:r/>
    </w:p>
    <w:p>
      <w:pPr>
        <w:pStyle w:val="1097"/>
        <w:spacing w:line="480" w:lineRule="exact"/>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工期进度安排：</w:t>
      </w:r>
      <w:r>
        <w:rPr>
          <w:rFonts w:hint="eastAsia" w:ascii="宋体" w:hAnsi="宋体" w:cs="宋体"/>
          <w:color w:val="000000" w:themeColor="text1"/>
          <w:szCs w:val="21"/>
          <w:highlight w:val="none"/>
        </w:rPr>
        <w:t xml:space="preserve">（1）至少包含月、周进度计划，明确施工准备、施工过程、验收等各阶段的施工任务；若出现滞后，及时调整资源配置（如增加人力、机械）或优化施工工序；建立进度汇报制度等控制措施。计划编制：月进度计划偏差控制在±3天内，周进度计划偏差控制在±1天内，计划编制完成率100%。资源调整：进度滞后≥5天时，24小时内完成人力（增加人数≥原配置的 20%）或机械（增加台数≥原配置的15%）调整。进度汇报：每周五17:00前向采购人提交进度报告，报告准时提交率100%，数据准确率100%。</w:t>
      </w:r>
      <w:r/>
    </w:p>
    <w:p>
      <w:pPr>
        <w:pStyle w:val="1097"/>
        <w:ind w:firstLine="480"/>
        <w:spacing w:line="4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（2）制定详细的工序交接清单，合理安排各工序施工顺序。</w:t>
      </w:r>
      <w:r/>
    </w:p>
    <w:p>
      <w:pPr>
        <w:pStyle w:val="1097"/>
        <w:ind w:firstLine="480"/>
        <w:spacing w:line="480" w:lineRule="exact"/>
        <w:rPr>
          <w:rFonts w:ascii="宋体" w:hAnsi="宋体" w:cs="宋体"/>
          <w:bCs/>
          <w:color w:val="000000" w:themeColor="text1"/>
          <w:szCs w:val="21"/>
          <w:highlight w:val="none"/>
          <w:lang w:val="zh-CN"/>
        </w:rPr>
      </w:pPr>
      <w:r>
        <w:rPr>
          <w:rFonts w:hint="eastAsia" w:ascii="宋体" w:hAnsi="宋体" w:cs="宋体"/>
          <w:color w:val="000000" w:themeColor="text1"/>
          <w:szCs w:val="21"/>
          <w:highlight w:val="none"/>
        </w:rPr>
        <w:t xml:space="preserve">（3）工序交接清单编制完整率100%，交接验收合格率100%；上一工序完成后，下一工序进场间隔≤8小时。</w:t>
      </w:r>
      <w:r/>
    </w:p>
    <w:p>
      <w:pPr>
        <w:spacing w:line="50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    2.3应急措施</w:t>
      </w:r>
      <w:r/>
    </w:p>
    <w:p>
      <w:pPr>
        <w:pStyle w:val="818"/>
        <w:rPr>
          <w:color w:val="000000" w:themeColor="text1"/>
          <w:highlight w:val="none"/>
        </w:rPr>
      </w:pPr>
      <w:r>
        <w:rPr>
          <w:rFonts w:ascii="宋体" w:hAnsi="宋体" w:eastAsia="宋体" w:cs="宋体"/>
          <w:color w:val="000000" w:themeColor="text1"/>
          <w:sz w:val="21"/>
          <w:szCs w:val="21"/>
          <w:highlight w:val="none"/>
        </w:rPr>
        <w:t xml:space="preserve">针对恶劣天气（</w:t>
      </w:r>
      <w:r>
        <w:rPr>
          <w:rFonts w:hint="eastAsia" w:ascii="宋体" w:hAnsi="宋体" w:eastAsia="宋体" w:cs="宋体"/>
          <w:color w:val="000000" w:themeColor="text1"/>
          <w:sz w:val="21"/>
          <w:szCs w:val="21"/>
          <w:highlight w:val="none"/>
        </w:rPr>
        <w:t xml:space="preserve">低温、</w:t>
      </w:r>
      <w:r>
        <w:rPr>
          <w:rFonts w:ascii="宋体" w:hAnsi="宋体" w:eastAsia="宋体" w:cs="宋体"/>
          <w:color w:val="000000" w:themeColor="text1"/>
          <w:sz w:val="21"/>
          <w:szCs w:val="21"/>
          <w:highlight w:val="none"/>
        </w:rPr>
        <w:t xml:space="preserve">暴雨、台风等），提前48小时制定应对方案；安全事故发生后，响应时间≤1小时，处理完成时间≤72小时（一般事故），最大限度减少工期延误（延误≤2天）。</w:t>
      </w:r>
      <w:r/>
    </w:p>
    <w:p>
      <w:pPr>
        <w:ind w:firstLine="422"/>
        <w:spacing w:line="5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3、投标人根据本项目总体要求，提供科学合理的</w:t>
      </w:r>
      <w:r>
        <w:rPr>
          <w:rFonts w:hint="eastAsia" w:ascii="宋体" w:hAnsi="宋体" w:cs="宋体"/>
          <w:b/>
          <w:color w:val="000000" w:themeColor="text1"/>
          <w:szCs w:val="21"/>
          <w:highlight w:val="none"/>
        </w:rPr>
        <w:t xml:space="preserve">安全管理体系和措施</w:t>
      </w:r>
      <w:r>
        <w:rPr>
          <w:rFonts w:hint="eastAsia" w:ascii="宋体" w:hAnsi="宋体" w:cs="宋体"/>
          <w:b/>
          <w:color w:val="000000" w:themeColor="text1"/>
          <w:szCs w:val="21"/>
          <w:highlight w:val="none"/>
        </w:rPr>
        <w:t xml:space="preserve">，进行详细阐述。至少包含以下内容：</w:t>
      </w:r>
      <w:r/>
    </w:p>
    <w:p>
      <w:pPr>
        <w:ind w:firstLine="420"/>
        <w:spacing w:line="50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3.1安全管理体系</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应明确安全管理目标的设定、安全管理制度的完善、安全保障措施的实施、责任与激励机制的落实等。</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3.2安全管理制度</w:t>
      </w:r>
      <w:r/>
    </w:p>
    <w:p>
      <w:pPr>
        <w:numPr>
          <w:ilvl w:val="0"/>
          <w:numId w:val="7"/>
        </w:numPr>
        <w:ind w:firstLine="420"/>
        <w:spacing w:line="360" w:lineRule="auto"/>
        <w:rPr>
          <w:color w:val="000000" w:themeColor="text1"/>
          <w:szCs w:val="21"/>
          <w:highlight w:val="none"/>
        </w:rPr>
      </w:pPr>
      <w:r>
        <w:rPr>
          <w:rFonts w:hint="eastAsia"/>
          <w:color w:val="000000" w:themeColor="text1"/>
          <w:szCs w:val="21"/>
          <w:highlight w:val="none"/>
        </w:rPr>
        <w:t xml:space="preserve">应明确施工过程</w:t>
      </w:r>
      <w:r>
        <w:rPr>
          <w:color w:val="000000" w:themeColor="text1"/>
          <w:szCs w:val="21"/>
          <w:highlight w:val="none"/>
        </w:rPr>
        <w:t xml:space="preserve">中安全管理的关键点，旨在确保施工过程中的人员安全和工程质量</w:t>
      </w:r>
      <w:r>
        <w:rPr>
          <w:rFonts w:hint="eastAsia"/>
          <w:color w:val="000000" w:themeColor="text1"/>
          <w:szCs w:val="21"/>
          <w:highlight w:val="none"/>
        </w:rPr>
        <w:t xml:space="preserve">。</w:t>
      </w:r>
      <w:r/>
    </w:p>
    <w:p>
      <w:pPr>
        <w:spacing w:line="360" w:lineRule="auto"/>
        <w:rPr>
          <w:rFonts w:ascii="宋体" w:hAnsi="宋体" w:cs="宋体"/>
          <w:bCs/>
          <w:color w:val="000000" w:themeColor="text1"/>
          <w:szCs w:val="21"/>
          <w:highlight w:val="none"/>
        </w:rPr>
      </w:pPr>
      <w:r>
        <w:rPr>
          <w:rFonts w:hint="eastAsia"/>
          <w:color w:val="000000" w:themeColor="text1"/>
          <w:szCs w:val="21"/>
          <w:highlight w:val="none"/>
        </w:rPr>
        <w:t xml:space="preserve">（2）</w:t>
      </w:r>
      <w:r>
        <w:rPr>
          <w:color w:val="000000" w:themeColor="text1"/>
          <w:szCs w:val="21"/>
          <w:highlight w:val="none"/>
        </w:rPr>
        <w:t xml:space="preserve">施工设备的管理：正确选择和使用机具设备，及时搞好施工设备的维护和保养，按计划检查和修理，建立现场施工设备使用管理制度等。</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3.3岗位职责的健全</w:t>
      </w:r>
      <w:r/>
    </w:p>
    <w:p>
      <w:pPr>
        <w:ind w:firstLine="420"/>
        <w:spacing w:line="360" w:lineRule="auto"/>
        <w:rPr>
          <w:rFonts w:ascii="宋体" w:hAnsi="宋体" w:cs="宋体"/>
          <w:bCs/>
          <w:color w:val="000000" w:themeColor="text1"/>
          <w:szCs w:val="21"/>
          <w:highlight w:val="none"/>
        </w:rPr>
      </w:pPr>
      <w:r>
        <w:rPr>
          <w:rFonts w:hint="eastAsia" w:ascii="Arial" w:hAnsi="Arial" w:cs="Arial"/>
          <w:color w:val="000000" w:themeColor="text1"/>
          <w:szCs w:val="21"/>
          <w:highlight w:val="none"/>
          <w:shd w:val="clear" w:color="auto" w:fill="ffffff"/>
        </w:rPr>
        <w:t xml:space="preserve">制定</w:t>
      </w:r>
      <w:r>
        <w:rPr>
          <w:rFonts w:ascii="Arial" w:hAnsi="Arial" w:cs="Arial"/>
          <w:color w:val="000000" w:themeColor="text1"/>
          <w:szCs w:val="21"/>
          <w:highlight w:val="none"/>
          <w:shd w:val="clear" w:color="auto" w:fill="ffffff"/>
        </w:rPr>
        <w:t xml:space="preserve">有效地健全工程项目改造工程岗位职责，提高项目的管理水平和执行效率</w:t>
      </w:r>
      <w:r>
        <w:rPr>
          <w:rFonts w:hint="eastAsia" w:ascii="Arial" w:hAnsi="Arial" w:cs="Arial"/>
          <w:color w:val="000000" w:themeColor="text1"/>
          <w:szCs w:val="21"/>
          <w:highlight w:val="none"/>
          <w:shd w:val="clear" w:color="auto" w:fill="ffffff"/>
        </w:rPr>
        <w:t xml:space="preserve">。</w:t>
      </w:r>
      <w:r/>
    </w:p>
    <w:p>
      <w:pPr>
        <w:numPr>
          <w:ilvl w:val="0"/>
          <w:numId w:val="8"/>
        </w:numPr>
        <w:ind w:firstLine="420"/>
        <w:spacing w:line="360" w:lineRule="auto"/>
        <w:rPr>
          <w:rFonts w:ascii="Arial" w:hAnsi="Arial" w:cs="Arial"/>
          <w:color w:val="000000" w:themeColor="text1"/>
          <w:szCs w:val="21"/>
          <w:highlight w:val="none"/>
          <w:shd w:val="clear" w:color="auto" w:fill="ffffff"/>
        </w:rPr>
      </w:pPr>
      <w:r>
        <w:rPr>
          <w:rFonts w:ascii="Arial" w:hAnsi="Arial" w:cs="Arial"/>
          <w:color w:val="000000" w:themeColor="text1"/>
          <w:szCs w:val="21"/>
          <w:highlight w:val="none"/>
          <w:shd w:val="clear" w:color="auto" w:fill="ffffff"/>
        </w:rPr>
        <w:t xml:space="preserve">每个岗位的职责应该清晰明确，避免职责不清导致的工作推诿。</w:t>
      </w:r>
      <w:r/>
    </w:p>
    <w:p>
      <w:pPr>
        <w:numPr>
          <w:ilvl w:val="0"/>
          <w:numId w:val="8"/>
        </w:numPr>
        <w:ind w:firstLine="420"/>
        <w:spacing w:line="360" w:lineRule="auto"/>
        <w:rPr>
          <w:rFonts w:ascii="宋体" w:hAnsi="宋体" w:cs="宋体"/>
          <w:bCs/>
          <w:color w:val="000000" w:themeColor="text1"/>
          <w:szCs w:val="21"/>
          <w:highlight w:val="none"/>
        </w:rPr>
      </w:pPr>
      <w:r>
        <w:rPr>
          <w:rFonts w:ascii="Arial" w:hAnsi="Arial" w:cs="Arial"/>
          <w:color w:val="000000" w:themeColor="text1"/>
          <w:szCs w:val="21"/>
          <w:highlight w:val="none"/>
          <w:shd w:val="clear" w:color="auto" w:fill="ffffff"/>
        </w:rPr>
        <w:t xml:space="preserve">为每个岗位制定具体的工作标准，以便于评估员工的工作表现。这包括工作流程、工作质量、工作效率等方面的标准。</w:t>
      </w:r>
      <w:r/>
    </w:p>
    <w:p>
      <w:pPr>
        <w:ind w:firstLine="420"/>
        <w:spacing w:line="360" w:lineRule="auto"/>
        <w:widowControl/>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3.4安全保证措施</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rFonts w:ascii="宋体" w:hAnsi="宋体" w:cs="宋体"/>
          <w:color w:val="000000" w:themeColor="text1"/>
          <w:szCs w:val="21"/>
          <w:highlight w:val="none"/>
        </w:rPr>
        <w:t xml:space="preserve">应采取预防措施来减少事故的发生。具体措施包括了解施工场地的地质情况</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确保</w:t>
      </w:r>
      <w:r>
        <w:rPr>
          <w:rFonts w:hint="eastAsia" w:ascii="宋体" w:hAnsi="宋体" w:cs="宋体"/>
          <w:color w:val="000000" w:themeColor="text1"/>
          <w:szCs w:val="21"/>
          <w:highlight w:val="none"/>
        </w:rPr>
        <w:t xml:space="preserve">施工</w:t>
      </w:r>
      <w:r>
        <w:rPr>
          <w:rFonts w:ascii="宋体" w:hAnsi="宋体" w:cs="宋体"/>
          <w:color w:val="000000" w:themeColor="text1"/>
          <w:szCs w:val="21"/>
          <w:highlight w:val="none"/>
        </w:rPr>
        <w:t xml:space="preserve">过程中不会对周边人员造成伤害。严禁使用过期、损坏或不合格的施工材料和设备，确保施工质量和操作安全。制定精细的施工计划，明确施工流程和安全要求，避免施工过程中发生冲突和危险</w:t>
      </w:r>
      <w:r>
        <w:rPr>
          <w:rFonts w:hint="eastAsia" w:ascii="宋体" w:hAnsi="宋体" w:cs="宋体"/>
          <w:color w:val="000000" w:themeColor="text1"/>
          <w:szCs w:val="21"/>
          <w:highlight w:val="none"/>
        </w:rPr>
        <w:t xml:space="preserve">。</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rFonts w:ascii="宋体" w:hAnsi="宋体" w:cs="宋体"/>
          <w:color w:val="000000" w:themeColor="text1"/>
          <w:szCs w:val="21"/>
          <w:highlight w:val="none"/>
        </w:rPr>
        <w:t xml:space="preserve">应</w:t>
      </w:r>
      <w:r>
        <w:rPr>
          <w:rFonts w:hint="eastAsia" w:ascii="宋体" w:hAnsi="宋体" w:cs="宋体"/>
          <w:color w:val="000000" w:themeColor="text1"/>
          <w:szCs w:val="21"/>
          <w:highlight w:val="none"/>
        </w:rPr>
        <w:t xml:space="preserve">制定</w:t>
      </w:r>
      <w:r>
        <w:rPr>
          <w:rFonts w:ascii="宋体" w:hAnsi="宋体" w:cs="宋体"/>
          <w:color w:val="000000" w:themeColor="text1"/>
          <w:szCs w:val="21"/>
          <w:highlight w:val="none"/>
        </w:rPr>
        <w:t xml:space="preserve">详细的应急预案，用于处理突发事件和事故。应急预案应包括突发事件的分类和等级划分，以及应对措施。应急救援组织和人员的职责和行动方案。紧急避险和疏散方案。对外沟通和信息发布机制。定期进行应急演练，以检验应急预案的有效性和施工人员的应急响应能力。演练应模拟各种突发事件，并对应急组织、沟通、救援和疏散等环节进行全面评估和改进。</w:t>
      </w: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rFonts w:ascii="宋体" w:hAnsi="宋体" w:cs="宋体"/>
          <w:color w:val="000000" w:themeColor="text1"/>
          <w:szCs w:val="21"/>
          <w:highlight w:val="none"/>
        </w:rPr>
        <w:t xml:space="preserve">应进行全员安全教育，提高施工人员的安全意识和安全知识。安全教育内容包括个人防护知识和技能培训。突发事件应对知识和逃生自救技能培训。施工操作规范和安全操作要求的培训。对参与改造工程的工人进行专业安全培训，提高他们的安全操作技能和意识。培训内容包括基本的安全操作规范和要求。</w:t>
      </w:r>
      <w:r/>
    </w:p>
    <w:p>
      <w:pPr>
        <w:ind w:firstLine="422"/>
        <w:spacing w:line="360" w:lineRule="auto"/>
        <w:widowControl/>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4、投标人根据本项目总体要求，提供科学合理的项目组织结构，进行详细阐述。至少包含以下内容：</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4.1合理安排项目部组织结构</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（1）制定合理的组织架构是项目顺利推进的基础。有利于项目的实施涉及多方协作、跨部门沟通，因此必须从整体上设计清晰的组织架构。</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合理安排项目组成员，负责具体的实施工作。每个职能部门应根据项目的需求，配置专门的人员负责相应的工作模块，确保项目的顺利推进。项目执行层的工作核心是将项目管理层的决策落到实处，具体负责项目的日常运作和实施过程中的监督与执行。</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4.2项目组人员专业齐全，执业资格齐全</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（1）对于本项目可能涉及多个专业领域，如建筑工程、机电工程、结构工程、给排水工程、暖通工程、电气工程等。因此，项目组人员需要具备相关专业的知识和经验，以确保项目的顺利进行。</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（2）项目组人员还需要具备特定的执业资格；除了专业技术人员外，项目组还需要一定数量的经过考核或培训合格的中级工以上技术工人。他们负责具体的施工操作，并需要具备相应的技能证书。</w:t>
      </w:r>
      <w:r/>
    </w:p>
    <w:p>
      <w:pPr>
        <w:spacing w:line="5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    5、投标人根据本项目总体要求，提供科学合理的</w:t>
      </w:r>
      <w:r>
        <w:rPr>
          <w:rFonts w:hint="eastAsia" w:ascii="宋体" w:hAnsi="宋体" w:cs="宋体"/>
          <w:b/>
          <w:color w:val="000000" w:themeColor="text1"/>
          <w:szCs w:val="21"/>
          <w:highlight w:val="none"/>
        </w:rPr>
        <w:t xml:space="preserve">质量管理体系和措施</w:t>
      </w:r>
      <w:r>
        <w:rPr>
          <w:rFonts w:hint="eastAsia" w:ascii="宋体" w:hAnsi="宋体" w:cs="宋体"/>
          <w:b/>
          <w:color w:val="000000" w:themeColor="text1"/>
          <w:szCs w:val="21"/>
          <w:highlight w:val="none"/>
        </w:rPr>
        <w:t xml:space="preserve">，进行详细阐述。至少包含以下内容：</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5.1确定质量方针和目标</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明确的质量方向和具体目标：包括生产过程中的工作质量和售后服务质量等，有助于确保项目实施过程中的质量和最终交付的质量。</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5.2质量管理体系</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w:t>
      </w:r>
      <w:r>
        <w:rPr>
          <w:rFonts w:ascii="宋体" w:hAnsi="宋体" w:cs="宋体"/>
          <w:bCs/>
          <w:color w:val="000000" w:themeColor="text1"/>
          <w:szCs w:val="21"/>
          <w:highlight w:val="none"/>
        </w:rPr>
        <w:t xml:space="preserve">建立质量标准体系需要坚持三个原则，一是必须有精确量化的质量指标；二是必须有具体明确的质量要求；三是实施操作的细则需要有统一的术语说明。</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（2）制定</w:t>
      </w:r>
      <w:r>
        <w:rPr>
          <w:rFonts w:ascii="宋体" w:hAnsi="宋体" w:cs="宋体"/>
          <w:bCs/>
          <w:color w:val="000000" w:themeColor="text1"/>
          <w:szCs w:val="21"/>
          <w:highlight w:val="none"/>
        </w:rPr>
        <w:t xml:space="preserve">规章制度保证体系内容主要包括操作流程的规范制度，信息管理的规范制度以及检验程序和变更程序的操作规程等。</w:t>
      </w:r>
      <w:r/>
    </w:p>
    <w:p>
      <w:pPr>
        <w:ind w:firstLine="420"/>
        <w:spacing w:line="360" w:lineRule="auto"/>
        <w:rPr>
          <w:rFonts w:ascii="宋体" w:hAnsi="宋体" w:cs="宋体"/>
          <w:b/>
          <w:color w:val="000000" w:themeColor="text1"/>
          <w:szCs w:val="21"/>
          <w:highlight w:val="none"/>
        </w:rPr>
      </w:pPr>
      <w:r>
        <w:rPr>
          <w:rFonts w:hint="eastAsia" w:ascii="宋体" w:hAnsi="宋体" w:cs="宋体"/>
          <w:bCs/>
          <w:color w:val="000000" w:themeColor="text1"/>
          <w:szCs w:val="21"/>
          <w:highlight w:val="none"/>
        </w:rPr>
        <w:t xml:space="preserve">（3）</w:t>
      </w:r>
      <w:r>
        <w:rPr>
          <w:rFonts w:ascii="宋体" w:hAnsi="宋体" w:cs="宋体"/>
          <w:bCs/>
          <w:color w:val="000000" w:themeColor="text1"/>
          <w:szCs w:val="21"/>
          <w:highlight w:val="none"/>
        </w:rPr>
        <w:t xml:space="preserve">资源配置保证体系主要包括设备要素，配备必要的质量检验设备，并保证生产设备本身的质量；原材料要素，建立质量认证体系保证原材料供应链的质量标准；人才要素，选择、配备、培训合格的工作人员和质量管理人才。</w:t>
      </w:r>
      <w:r/>
    </w:p>
    <w:p>
      <w:pPr>
        <w:spacing w:line="5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    6、投标人根据本项目总体要求，提供科学合理的文明施工及环境保护方案，进行详细阐述。至少包含以下内容：</w:t>
      </w:r>
      <w:r/>
    </w:p>
    <w:p>
      <w:pPr>
        <w:ind w:firstLine="420"/>
        <w:spacing w:line="50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6.1文明施工要求</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w:t>
      </w:r>
      <w:r>
        <w:rPr>
          <w:rFonts w:ascii="宋体" w:hAnsi="宋体" w:cs="宋体"/>
          <w:bCs/>
          <w:color w:val="000000" w:themeColor="text1"/>
          <w:szCs w:val="21"/>
          <w:highlight w:val="none"/>
        </w:rPr>
        <w:t xml:space="preserve">施工现场必须实施封闭管理，现场出入口应设门卫室，场地四周必须采用封闭围挡，围挡要坚固、整洁、美观，并沿场地四周连续设置。</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w:t>
      </w:r>
      <w:r>
        <w:rPr>
          <w:rFonts w:ascii="宋体" w:hAnsi="宋体" w:cs="宋体"/>
          <w:bCs/>
          <w:color w:val="000000" w:themeColor="text1"/>
          <w:szCs w:val="21"/>
          <w:highlight w:val="none"/>
        </w:rPr>
        <w:t xml:space="preserve">施工场地处理，保证道路排水畅通，防止泥浆、污水、废水乱流和堵塞下水道，工地无积水现象。各种材料必须按施工平面图位置堆放，保证施工道路平整、畅通。</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w:t>
      </w:r>
      <w:r>
        <w:rPr>
          <w:rFonts w:ascii="宋体" w:hAnsi="宋体" w:cs="宋体"/>
          <w:bCs/>
          <w:color w:val="000000" w:themeColor="text1"/>
          <w:szCs w:val="21"/>
          <w:highlight w:val="none"/>
        </w:rPr>
        <w:t xml:space="preserve">施工现场应设宣传栏、报刊栏，悬挂安全标语和安全警示标志牌，加强安全文明施工宣传。</w:t>
      </w:r>
      <w:r/>
    </w:p>
    <w:p>
      <w:pPr>
        <w:ind w:firstLine="420"/>
        <w:spacing w:line="50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6.2事故与火灾预防</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w:t>
      </w:r>
      <w:r>
        <w:rPr>
          <w:rFonts w:ascii="宋体" w:hAnsi="宋体" w:cs="宋体"/>
          <w:bCs/>
          <w:color w:val="000000" w:themeColor="text1"/>
          <w:szCs w:val="21"/>
          <w:highlight w:val="none"/>
        </w:rPr>
        <w:t xml:space="preserve">定期检查施工现场的电气设备，确保其正常运行，避免电线老化、短路等问题引发火灾。使用符合安全标准的电气设备和电线，选择质量可靠的电线和插座，并确保其正常使用。</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w:t>
      </w:r>
      <w:r>
        <w:rPr>
          <w:rFonts w:ascii="宋体" w:hAnsi="宋体" w:cs="宋体"/>
          <w:bCs/>
          <w:color w:val="000000" w:themeColor="text1"/>
          <w:szCs w:val="21"/>
          <w:highlight w:val="none"/>
        </w:rPr>
        <w:t xml:space="preserve">对施工现场的易燃物品进行分类储存和管理，避免堆放大量易燃物品。定期清理施工现场上的垃圾和杂物，保持通道畅通，以便在火灾发生时能够及时进行灭火和人员疏散。</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w:t>
      </w:r>
      <w:r>
        <w:rPr>
          <w:rFonts w:ascii="宋体" w:hAnsi="宋体" w:cs="宋体"/>
          <w:bCs/>
          <w:color w:val="000000" w:themeColor="text1"/>
          <w:szCs w:val="21"/>
          <w:highlight w:val="none"/>
        </w:rPr>
        <w:t xml:space="preserve">安装火灾报警器和灭火器，并定期维护和检查其工作状态，确保其正常使用。在施工现场设置合适的消防设施，包括灭火器、水源、喷淋系统等</w:t>
      </w:r>
      <w:r>
        <w:rPr>
          <w:rFonts w:hint="eastAsia" w:ascii="宋体" w:hAnsi="宋体" w:cs="宋体"/>
          <w:bCs/>
          <w:color w:val="000000" w:themeColor="text1"/>
          <w:szCs w:val="21"/>
          <w:highlight w:val="none"/>
        </w:rPr>
        <w:t xml:space="preserve">。</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w:t>
      </w:r>
      <w:r>
        <w:rPr>
          <w:rFonts w:ascii="宋体" w:hAnsi="宋体" w:cs="宋体"/>
          <w:bCs/>
          <w:color w:val="000000" w:themeColor="text1"/>
          <w:szCs w:val="21"/>
          <w:highlight w:val="none"/>
        </w:rPr>
        <w:t xml:space="preserve">对于必须要使用明火作业的部位，要逐级审批，在领取动火证之后，组织专人看守现场，作业完毕后，应清理现场，防止阴燃着火。对残余火种应及时熄灭。</w:t>
      </w:r>
      <w:r/>
    </w:p>
    <w:p>
      <w:pPr>
        <w:ind w:firstLine="421"/>
        <w:spacing w:line="5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7、投标人根据本项目总体要求，提供科学合理的</w:t>
      </w:r>
      <w:r>
        <w:rPr>
          <w:rFonts w:hint="eastAsia" w:ascii="宋体" w:hAnsi="宋体" w:cs="宋体"/>
          <w:b/>
          <w:color w:val="000000" w:themeColor="text1"/>
          <w:szCs w:val="21"/>
          <w:highlight w:val="none"/>
        </w:rPr>
        <w:t xml:space="preserve">质保期内的服务方案</w:t>
      </w:r>
      <w:r>
        <w:rPr>
          <w:rFonts w:hint="eastAsia" w:ascii="宋体" w:hAnsi="宋体" w:cs="宋体"/>
          <w:b/>
          <w:color w:val="000000" w:themeColor="text1"/>
          <w:szCs w:val="21"/>
          <w:highlight w:val="none"/>
        </w:rPr>
        <w:t xml:space="preserve">，进行详细阐述。至少包含以下内容：</w:t>
      </w:r>
      <w:r/>
    </w:p>
    <w:p>
      <w:pPr>
        <w:ind w:firstLine="421"/>
        <w:spacing w:line="50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7.1质保期服务计划制定</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rFonts w:ascii="宋体" w:hAnsi="宋体" w:cs="宋体"/>
          <w:color w:val="000000" w:themeColor="text1"/>
          <w:szCs w:val="21"/>
          <w:highlight w:val="none"/>
        </w:rPr>
        <w:t xml:space="preserve">详细列出保修期内的保修项目，如基础设施工程、地基基础工程、主体结构工程等，并注明各自的保修期限。</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rFonts w:ascii="宋体" w:hAnsi="宋体" w:cs="宋体"/>
          <w:color w:val="000000" w:themeColor="text1"/>
          <w:szCs w:val="21"/>
          <w:highlight w:val="none"/>
        </w:rPr>
        <w:t xml:space="preserve">设立专门的维保部门或岗位，明确负责人的职责，以及保修岗的具体工作内容，如报修信息登记、质量责任确定、维修处理等。</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rFonts w:ascii="宋体" w:hAnsi="宋体" w:cs="宋体"/>
          <w:color w:val="000000" w:themeColor="text1"/>
          <w:szCs w:val="21"/>
          <w:highlight w:val="none"/>
        </w:rPr>
        <w:t xml:space="preserve">规定不同类型问题的响应时间和处理流程，包括一般问题、较大问题和重大问题的处理方式。</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rPr>
          <w:rFonts w:ascii="宋体" w:hAnsi="宋体" w:cs="宋体"/>
          <w:color w:val="000000" w:themeColor="text1"/>
          <w:szCs w:val="21"/>
          <w:highlight w:val="none"/>
        </w:rPr>
        <w:t xml:space="preserve">对于重大质量问题，应有专门的验收标准和程序，包括验收参加人员、质量问题原因介绍、维修措施和效果报告、验收意见签署等。</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rPr>
          <w:rFonts w:ascii="宋体" w:hAnsi="宋体" w:cs="宋体"/>
          <w:color w:val="000000" w:themeColor="text1"/>
          <w:szCs w:val="21"/>
          <w:highlight w:val="none"/>
        </w:rPr>
        <w:t xml:space="preserve">工程保修期满后，施工单位应进行回访，并记录回访情况。同时，建立保修信息档案制度，记录处理过程和结果。</w:t>
      </w:r>
      <w:r/>
    </w:p>
    <w:p>
      <w:pPr>
        <w:ind w:firstLine="420"/>
        <w:spacing w:line="500" w:lineRule="exact"/>
        <w:rPr>
          <w:color w:val="000000" w:themeColor="text1"/>
          <w:highlight w:val="none"/>
        </w:rPr>
      </w:pPr>
      <w:r>
        <w:rPr>
          <w:rFonts w:hint="eastAsia" w:ascii="宋体" w:hAnsi="宋体" w:cs="宋体"/>
          <w:bCs/>
          <w:color w:val="000000" w:themeColor="text1"/>
          <w:szCs w:val="21"/>
          <w:highlight w:val="none"/>
        </w:rPr>
        <w:t xml:space="preserve">7.2工程质保期内的维修</w:t>
      </w:r>
      <w:r/>
    </w:p>
    <w:p>
      <w:pPr>
        <w:pStyle w:val="818"/>
        <w:ind w:firstLine="420"/>
        <w:rPr>
          <w:color w:val="000000" w:themeColor="text1"/>
          <w:highlight w:val="none"/>
        </w:rPr>
      </w:pP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明确施工单位在质保期内的责任，包括及时响应报修、在约定时间内完成维修。问题处理流程：接收采购人的缺陷通知，详细记录缺陷位置、现象，缺陷记录完整率100%；安排技术人员到现场勘查，现场勘查完成时间≤8小时，确定缺陷原因、范围及严重程度；24小时内明确修复方法、材料、工期及责任人；确保施工安全和修复质量及验收等。</w:t>
      </w:r>
      <w:r/>
    </w:p>
    <w:p>
      <w:pPr>
        <w:pStyle w:val="1097"/>
        <w:ind w:firstLine="480"/>
        <w:spacing w:line="48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（2）保障措施：专职处理人员配置≥2人，技术人员配置≥1人；修复材料储备量≥常用缺陷修复用量的1.2倍，材料到位时间≤24 小时。</w:t>
      </w:r>
      <w:r/>
    </w:p>
    <w:p>
      <w:pPr>
        <w:numPr>
          <w:ilvl w:val="0"/>
          <w:numId w:val="5"/>
        </w:numPr>
        <w:spacing w:line="50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业绩</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供应商自2022年9月1日以来（以竣工验收证明时间为准）承接过同类业绩（装修改造工程）的优先。</w:t>
      </w:r>
      <w:r/>
    </w:p>
    <w:p>
      <w:pPr>
        <w:pStyle w:val="818"/>
        <w:rPr>
          <w:color w:val="000000" w:themeColor="text1"/>
          <w:highlight w:val="none"/>
        </w:rPr>
      </w:pPr>
      <w:r>
        <w:rPr>
          <w:color w:val="000000" w:themeColor="text1"/>
          <w:highlight w:val="none"/>
        </w:rPr>
      </w:r>
      <w:r/>
    </w:p>
    <w:p>
      <w:pPr>
        <w:numPr>
          <w:ilvl w:val="0"/>
          <w:numId w:val="5"/>
        </w:numPr>
        <w:spacing w:line="50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企业实力</w:t>
      </w:r>
      <w:r/>
    </w:p>
    <w:p>
      <w:pPr>
        <w:ind w:firstLine="420"/>
        <w:spacing w:line="500" w:lineRule="exact"/>
        <w:rPr>
          <w:color w:val="000000" w:themeColor="text1"/>
          <w:highlight w:val="none"/>
        </w:rPr>
      </w:pPr>
      <w:r>
        <w:rPr>
          <w:rFonts w:hint="eastAsia" w:ascii="宋体" w:hAnsi="宋体" w:cs="宋体"/>
          <w:bCs/>
          <w:color w:val="000000" w:themeColor="text1"/>
          <w:szCs w:val="21"/>
          <w:highlight w:val="none"/>
        </w:rPr>
        <w:t xml:space="preserve">供应商具有有效期内的质量管理体系认证、环境管理体系认证、职业健康安全管理体系认证证书的优先。</w:t>
      </w:r>
      <w:r/>
    </w:p>
    <w:p>
      <w:pPr>
        <w:numPr>
          <w:ilvl w:val="0"/>
          <w:numId w:val="5"/>
        </w:numPr>
        <w:spacing w:line="500" w:lineRule="exact"/>
        <w:rPr>
          <w:rFonts w:ascii="宋体" w:hAnsi="宋体" w:cs="宋体"/>
          <w:bCs/>
          <w:color w:val="000000" w:themeColor="text1"/>
          <w:szCs w:val="21"/>
          <w:highlight w:val="none"/>
          <w:lang w:val="zh-CN"/>
        </w:rPr>
      </w:pPr>
      <w:r>
        <w:rPr>
          <w:rFonts w:hint="eastAsia" w:ascii="宋体" w:hAnsi="宋体" w:cs="宋体"/>
          <w:bCs/>
          <w:color w:val="000000" w:themeColor="text1"/>
          <w:szCs w:val="21"/>
          <w:highlight w:val="none"/>
        </w:rPr>
        <w:t xml:space="preserve">人员配备</w:t>
      </w:r>
      <w:r/>
    </w:p>
    <w:p>
      <w:pPr>
        <w:ind w:firstLine="420"/>
        <w:spacing w:line="500" w:lineRule="exact"/>
        <w:rPr>
          <w:color w:val="000000" w:themeColor="text1"/>
          <w:highlight w:val="none"/>
        </w:rPr>
      </w:pPr>
      <w:r>
        <w:rPr>
          <w:rFonts w:hint="eastAsia" w:ascii="宋体" w:hAnsi="宋体" w:cs="宋体"/>
          <w:bCs/>
          <w:color w:val="000000" w:themeColor="text1"/>
          <w:szCs w:val="21"/>
          <w:highlight w:val="none"/>
        </w:rPr>
        <w:t xml:space="preserve">本项目为</w:t>
      </w:r>
      <w:r>
        <w:rPr>
          <w:rFonts w:hint="eastAsia" w:ascii="宋体" w:hAnsi="宋体" w:cs="宋体"/>
          <w:color w:val="000000" w:themeColor="text1"/>
          <w:szCs w:val="21"/>
          <w:highlight w:val="none"/>
        </w:rPr>
        <w:t xml:space="preserve">盐城市公安局交管支队亭湖大队文峰中队营房装修改造</w:t>
      </w:r>
      <w:r>
        <w:rPr>
          <w:rFonts w:hint="eastAsia" w:ascii="宋体" w:hAnsi="宋体" w:cs="宋体"/>
          <w:bCs/>
          <w:color w:val="000000" w:themeColor="text1"/>
          <w:szCs w:val="21"/>
          <w:highlight w:val="none"/>
        </w:rPr>
        <w:t xml:space="preserve">，为保证项目能够顺利实施，本项目的项目负责人具有建设工程类中级工程师职称的或具有建设工程类高级工程师及以上职称的优先；本项目的技术负责人（项目负责人除外）具有建设工程类中级工程师职称的或具有建设工程类高级工程师及以上职称的优先。</w:t>
      </w:r>
      <w:r/>
    </w:p>
    <w:p>
      <w:pPr>
        <w:pStyle w:val="803"/>
        <w:jc w:val="both"/>
        <w:spacing w:beforeAutospacing="0" w:afterAutospacing="0" w:line="360" w:lineRule="auto"/>
        <w:rPr>
          <w:color w:val="000000" w:themeColor="text1"/>
          <w:sz w:val="21"/>
          <w:szCs w:val="21"/>
          <w:highlight w:val="none"/>
        </w:rPr>
      </w:pPr>
      <w:r>
        <w:rPr>
          <w:rFonts w:hint="eastAsia"/>
          <w:color w:val="000000" w:themeColor="text1"/>
          <w:sz w:val="21"/>
          <w:szCs w:val="21"/>
          <w:highlight w:val="none"/>
        </w:rPr>
        <w:t xml:space="preserve">七、采购标的对应的中小企业划分标准所属行业一览表</w:t>
      </w:r>
      <w:r/>
    </w:p>
    <w:tbl>
      <w:tblPr>
        <w:tblStyle w:val="768"/>
        <w:tblW w:w="783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30"/>
        <w:gridCol w:w="3427"/>
        <w:gridCol w:w="3577"/>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03"/>
              <w:jc w:val="center"/>
              <w:spacing w:beforeAutospacing="0" w:afterAutospacing="0" w:line="360" w:lineRule="auto"/>
              <w:rPr>
                <w:color w:val="000000" w:themeColor="text1"/>
                <w:sz w:val="21"/>
                <w:szCs w:val="21"/>
                <w:highlight w:val="none"/>
              </w:rPr>
            </w:pPr>
            <w:r>
              <w:rPr>
                <w:rFonts w:hint="eastAsia"/>
                <w:color w:val="000000" w:themeColor="text1"/>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803"/>
              <w:ind w:firstLine="1104"/>
              <w:jc w:val="both"/>
              <w:spacing w:beforeAutospacing="0" w:afterAutospacing="0" w:line="360" w:lineRule="auto"/>
              <w:rPr>
                <w:color w:val="000000" w:themeColor="text1"/>
                <w:sz w:val="21"/>
                <w:szCs w:val="21"/>
                <w:highlight w:val="none"/>
              </w:rPr>
            </w:pPr>
            <w:r>
              <w:rPr>
                <w:rFonts w:hint="eastAsia"/>
                <w:color w:val="000000" w:themeColor="text1"/>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pStyle w:val="803"/>
              <w:jc w:val="center"/>
              <w:spacing w:beforeAutospacing="0" w:afterAutospacing="0" w:line="360" w:lineRule="auto"/>
              <w:rPr>
                <w:color w:val="000000" w:themeColor="text1"/>
                <w:sz w:val="21"/>
                <w:szCs w:val="21"/>
                <w:highlight w:val="none"/>
              </w:rPr>
            </w:pPr>
            <w:r>
              <w:rPr>
                <w:rFonts w:hint="eastAsia"/>
                <w:color w:val="000000" w:themeColor="text1"/>
                <w:sz w:val="21"/>
                <w:szCs w:val="21"/>
                <w:highlight w:val="none"/>
              </w:rPr>
              <w:t xml:space="preserve">对应中小企业划分标准所属行业</w:t>
            </w:r>
            <w:r/>
          </w:p>
        </w:tc>
      </w:tr>
      <w:tr>
        <w:trPr>
          <w:jc w:val="center"/>
          <w:tblCellSpacing w:w="0" w:type="dxa"/>
          <w:trHeight w:val="708"/>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03"/>
              <w:jc w:val="center"/>
              <w:spacing w:beforeAutospacing="0" w:afterAutospacing="0" w:line="360" w:lineRule="auto"/>
              <w:rPr>
                <w:color w:val="000000" w:themeColor="text1"/>
                <w:sz w:val="21"/>
                <w:szCs w:val="21"/>
                <w:highlight w:val="none"/>
              </w:rPr>
            </w:pPr>
            <w:r>
              <w:rPr>
                <w:rFonts w:hint="eastAsia"/>
                <w:color w:val="000000" w:themeColor="text1"/>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803"/>
              <w:jc w:val="both"/>
              <w:spacing w:beforeAutospacing="0" w:afterAutospacing="0" w:line="360" w:lineRule="auto"/>
              <w:rPr>
                <w:color w:val="000000" w:themeColor="text1"/>
                <w:sz w:val="21"/>
                <w:szCs w:val="21"/>
                <w:highlight w:val="none"/>
              </w:rPr>
            </w:pPr>
            <w:r>
              <w:rPr>
                <w:rFonts w:hint="eastAsia"/>
                <w:color w:val="000000" w:themeColor="text1"/>
                <w:sz w:val="21"/>
                <w:szCs w:val="21"/>
                <w:highlight w:val="none"/>
              </w:rPr>
              <w:t xml:space="preserve">盐城市公安局交管支队亭湖大队文峰中队营房装修改造</w:t>
            </w:r>
            <w:r/>
          </w:p>
        </w:tc>
        <w:tc>
          <w:tcPr>
            <w:shd w:val="clear" w:color="auto" w:fill="auto"/>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pStyle w:val="803"/>
              <w:jc w:val="center"/>
              <w:spacing w:beforeAutospacing="0" w:afterAutospacing="0" w:line="360" w:lineRule="auto"/>
              <w:rPr>
                <w:color w:val="000000" w:themeColor="text1"/>
                <w:sz w:val="21"/>
                <w:szCs w:val="21"/>
                <w:highlight w:val="none"/>
              </w:rPr>
            </w:pPr>
            <w:r>
              <w:rPr>
                <w:rFonts w:hint="eastAsia"/>
                <w:color w:val="000000" w:themeColor="text1"/>
                <w:sz w:val="21"/>
                <w:szCs w:val="21"/>
                <w:highlight w:val="none"/>
              </w:rPr>
              <w:t xml:space="preserve">建筑业</w:t>
            </w:r>
            <w:r/>
          </w:p>
        </w:tc>
      </w:tr>
    </w:tbl>
    <w:p>
      <w:pPr>
        <w:jc w:val="left"/>
        <w:widowControl/>
        <w:rPr>
          <w:rFonts w:ascii="Cambria" w:hAnsi="Cambria"/>
          <w:b/>
          <w:bCs/>
          <w:color w:val="000000" w:themeColor="text1"/>
          <w:sz w:val="36"/>
          <w:szCs w:val="36"/>
          <w:highlight w:val="none"/>
        </w:rPr>
      </w:pPr>
      <w:r>
        <w:rPr>
          <w:color w:val="000000" w:themeColor="text1"/>
          <w:sz w:val="36"/>
          <w:szCs w:val="36"/>
          <w:highlight w:val="none"/>
        </w:rPr>
        <w:br w:type="page" w:clear="all"/>
      </w:r>
      <w:r/>
    </w:p>
    <w:p>
      <w:pPr>
        <w:pStyle w:val="805"/>
        <w:rPr>
          <w:color w:val="000000" w:themeColor="text1"/>
          <w:sz w:val="36"/>
          <w:szCs w:val="36"/>
          <w:highlight w:val="none"/>
        </w:rPr>
      </w:pPr>
      <w:r/>
      <w:bookmarkStart w:id="226" w:name="_Toc212826111"/>
      <w:r/>
      <w:bookmarkStart w:id="227" w:name="_Toc24041"/>
      <w:r>
        <w:rPr>
          <w:rFonts w:hint="eastAsia"/>
          <w:color w:val="000000" w:themeColor="text1"/>
          <w:sz w:val="36"/>
          <w:szCs w:val="36"/>
          <w:highlight w:val="none"/>
        </w:rPr>
        <w:t xml:space="preserve">第五章 定标原则和评审标准</w:t>
      </w:r>
      <w:bookmarkEnd w:id="226"/>
      <w:r/>
      <w:bookmarkEnd w:id="227"/>
      <w:r/>
      <w:r/>
    </w:p>
    <w:p>
      <w:pPr>
        <w:ind w:firstLine="482"/>
        <w:spacing w:line="360" w:lineRule="auto"/>
        <w:rPr>
          <w:rFonts w:ascii="宋体" w:hAnsi="宋体"/>
          <w:b/>
          <w:bCs/>
          <w:color w:val="000000" w:themeColor="text1"/>
          <w:sz w:val="24"/>
          <w:highlight w:val="none"/>
        </w:rPr>
      </w:pPr>
      <w:r/>
      <w:bookmarkStart w:id="228" w:name="OLE_LINK21"/>
      <w:r>
        <w:rPr>
          <w:rFonts w:hint="eastAsia" w:ascii="宋体" w:hAnsi="宋体"/>
          <w:b/>
          <w:bCs/>
          <w:color w:val="000000" w:themeColor="text1"/>
          <w:sz w:val="24"/>
          <w:highlight w:val="none"/>
        </w:rPr>
        <w:t xml:space="preserve">一、定标原则</w:t>
      </w:r>
      <w:bookmarkEnd w:id="228"/>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2"/>
        <w:spacing w:line="360" w:lineRule="auto"/>
        <w:rPr>
          <w:rFonts w:ascii="宋体" w:hAnsi="宋体"/>
          <w:b/>
          <w:bCs/>
          <w:color w:val="000000" w:themeColor="text1"/>
          <w:sz w:val="24"/>
          <w:highlight w:val="none"/>
        </w:rPr>
      </w:pPr>
      <w:r>
        <w:rPr>
          <w:rFonts w:hint="eastAsia" w:ascii="宋体" w:hAnsi="宋体"/>
          <w:b/>
          <w:bCs/>
          <w:color w:val="000000" w:themeColor="text1"/>
          <w:sz w:val="24"/>
          <w:highlight w:val="none"/>
        </w:rPr>
        <w:t xml:space="preserve">政府采购政策功能落实</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1、小微型企业</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（1）本项目专门面向中小企业采购，不再执行价格评审优惠的扶持政策。</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（2）供应商需按照</w:t>
      </w:r>
      <w:r>
        <w:rPr>
          <w:rFonts w:hint="eastAsia" w:ascii="宋体" w:hAnsi="宋体"/>
          <w:color w:val="000000" w:themeColor="text1"/>
          <w:sz w:val="24"/>
          <w:highlight w:val="none"/>
          <w:lang w:eastAsia="zh-CN"/>
        </w:rPr>
        <w:t xml:space="preserve">磋商文件</w:t>
      </w:r>
      <w:r>
        <w:rPr>
          <w:rFonts w:hint="eastAsia" w:ascii="宋体" w:hAnsi="宋体"/>
          <w:color w:val="000000" w:themeColor="text1"/>
          <w:sz w:val="24"/>
          <w:highlight w:val="none"/>
        </w:rPr>
        <w:t xml:space="preserve">的要求提供相应的《中小企业声明函》。</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（3）企业标准请参照《关于印发中小企业划型标准规定的通知》（工信部联企业[2011]300号）文件规定自行填写。</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2、残疾人福利单位</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（1）本项目专门面向中小企业采购，不再执行价格评审优惠的扶持政策。</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（2）残疾人福利单位需按照</w:t>
      </w:r>
      <w:r>
        <w:rPr>
          <w:rFonts w:hint="eastAsia" w:ascii="宋体" w:hAnsi="宋体"/>
          <w:color w:val="000000" w:themeColor="text1"/>
          <w:sz w:val="24"/>
          <w:highlight w:val="none"/>
          <w:lang w:eastAsia="zh-CN"/>
        </w:rPr>
        <w:t xml:space="preserve">磋商文件</w:t>
      </w:r>
      <w:r>
        <w:rPr>
          <w:rFonts w:hint="eastAsia" w:ascii="宋体" w:hAnsi="宋体"/>
          <w:color w:val="000000" w:themeColor="text1"/>
          <w:sz w:val="24"/>
          <w:highlight w:val="none"/>
        </w:rPr>
        <w:t xml:space="preserve">的要求提供《残疾人福利性单位声明函》。</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（3）残疾人福利单位标准请参照《关于促进残疾人就业政府采购政策的通知》（财库〔2017〕141号）。</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3、监狱和戒毒企业</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（1）本项目专门面向中小企业采购，不再执行价格评审优惠的扶持政策。</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（3）监狱企业标准请参照《关于政府采购支持监狱企业发展有关问题的通知》（财库[2014]68号）。</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4、残疾人福利单位、监狱企业属于小型、微型企业的，不重复享受政策。</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5、严格执行政府采购关于支持</w:t>
      </w:r>
      <w:r>
        <w:rPr>
          <w:rFonts w:hint="eastAsia" w:ascii="宋体" w:hAnsi="宋体"/>
          <w:color w:val="000000" w:themeColor="text1"/>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二、评标标准</w:t>
      </w:r>
      <w:r/>
    </w:p>
    <w:p>
      <w:pPr>
        <w:ind w:firstLine="480"/>
        <w:spacing w:line="360" w:lineRule="auto"/>
        <w:rPr>
          <w:rFonts w:ascii="宋体" w:hAnsi="宋体" w:cs="宋体"/>
          <w:color w:val="000000" w:themeColor="text1"/>
          <w:highlight w:val="none"/>
        </w:rPr>
      </w:pPr>
      <w:r>
        <w:rPr>
          <w:rFonts w:hint="eastAsia" w:ascii="宋体" w:hAnsi="宋体"/>
          <w:color w:val="000000" w:themeColor="text1"/>
          <w:sz w:val="24"/>
          <w:highlight w:val="none"/>
        </w:rPr>
        <w:t xml:space="preserve">本项目评分总分值为100分。</w:t>
      </w:r>
      <w:r/>
    </w:p>
    <w:tbl>
      <w:tblPr>
        <w:tblStyle w:val="768"/>
        <w:tblpPr w:horzAnchor="page" w:tblpX="1196" w:vertAnchor="text" w:tblpY="44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4"/>
        <w:gridCol w:w="1104"/>
        <w:gridCol w:w="7682"/>
      </w:tblGrid>
      <w:tr>
        <w:trPr>
          <w:trHeight w:val="497"/>
        </w:trPr>
        <w:tc>
          <w:tcPr>
            <w:tcW w:w="1144" w:type="dxa"/>
            <w:vAlign w:val="center"/>
            <w:textDirection w:val="lrTb"/>
            <w:noWrap w:val="false"/>
          </w:tcPr>
          <w:p>
            <w:pPr>
              <w:jc w:val="center"/>
              <w:rPr>
                <w:rFonts w:ascii="宋体" w:hAnsi="宋体"/>
                <w:color w:val="000000" w:themeColor="text1"/>
                <w:szCs w:val="21"/>
                <w:highlight w:val="none"/>
              </w:rPr>
            </w:pPr>
            <w:r>
              <w:rPr>
                <w:rFonts w:hint="eastAsia" w:ascii="宋体" w:hAnsi="宋体"/>
                <w:b/>
                <w:color w:val="000000" w:themeColor="text1"/>
                <w:szCs w:val="21"/>
                <w:highlight w:val="none"/>
              </w:rPr>
              <w:t xml:space="preserve">评分项目</w:t>
            </w:r>
            <w:r/>
          </w:p>
        </w:tc>
        <w:tc>
          <w:tcPr>
            <w:tcW w:w="1104" w:type="dxa"/>
            <w:vAlign w:val="center"/>
            <w:textDirection w:val="lrTb"/>
            <w:noWrap w:val="false"/>
          </w:tcPr>
          <w:p>
            <w:pPr>
              <w:jc w:val="center"/>
              <w:rPr>
                <w:rFonts w:ascii="宋体" w:hAnsi="宋体"/>
                <w:b/>
                <w:color w:val="000000" w:themeColor="text1"/>
                <w:szCs w:val="21"/>
                <w:highlight w:val="none"/>
              </w:rPr>
            </w:pPr>
            <w:r>
              <w:rPr>
                <w:rFonts w:hint="eastAsia" w:ascii="宋体" w:hAnsi="宋体"/>
                <w:b/>
                <w:color w:val="000000" w:themeColor="text1"/>
                <w:szCs w:val="21"/>
                <w:highlight w:val="none"/>
              </w:rPr>
              <w:t xml:space="preserve">分值</w:t>
            </w:r>
            <w:r/>
          </w:p>
        </w:tc>
        <w:tc>
          <w:tcPr>
            <w:tcW w:w="7682" w:type="dxa"/>
            <w:vAlign w:val="center"/>
            <w:textDirection w:val="lrTb"/>
            <w:noWrap w:val="false"/>
          </w:tcPr>
          <w:p>
            <w:pPr>
              <w:jc w:val="center"/>
              <w:rPr>
                <w:rFonts w:ascii="宋体" w:hAnsi="宋体"/>
                <w:b/>
                <w:color w:val="000000" w:themeColor="text1"/>
                <w:szCs w:val="21"/>
                <w:highlight w:val="none"/>
              </w:rPr>
            </w:pPr>
            <w:r>
              <w:rPr>
                <w:rFonts w:hint="eastAsia" w:ascii="宋体" w:hAnsi="宋体"/>
                <w:b/>
                <w:color w:val="000000" w:themeColor="text1"/>
                <w:szCs w:val="21"/>
                <w:highlight w:val="none"/>
              </w:rPr>
              <w:t xml:space="preserve">评 分 细 则</w:t>
            </w:r>
            <w:r/>
          </w:p>
        </w:tc>
      </w:tr>
      <w:tr>
        <w:trPr>
          <w:trHeight w:val="237"/>
        </w:trPr>
        <w:tc>
          <w:tcPr>
            <w:tcW w:w="1144" w:type="dxa"/>
            <w:vAlign w:val="center"/>
            <w:textDirection w:val="lrTb"/>
            <w:noWrap w:val="false"/>
          </w:tcPr>
          <w:p>
            <w:pPr>
              <w:jc w:val="center"/>
              <w:spacing w:line="480" w:lineRule="auto"/>
              <w:rPr>
                <w:rFonts w:ascii="宋体" w:hAnsi="宋体"/>
                <w:color w:val="000000" w:themeColor="text1"/>
                <w:highlight w:val="none"/>
              </w:rPr>
            </w:pPr>
            <w:r>
              <w:rPr>
                <w:rFonts w:hint="eastAsia" w:ascii="宋体" w:hAnsi="宋体"/>
                <w:color w:val="000000" w:themeColor="text1"/>
                <w:highlight w:val="none"/>
              </w:rPr>
              <w:t xml:space="preserve">价格</w:t>
            </w:r>
            <w:r/>
          </w:p>
        </w:tc>
        <w:tc>
          <w:tcPr>
            <w:tcW w:w="1104" w:type="dxa"/>
            <w:vAlign w:val="center"/>
            <w:textDirection w:val="lrTb"/>
            <w:noWrap w:val="false"/>
          </w:tcPr>
          <w:p>
            <w:pPr>
              <w:jc w:val="center"/>
              <w:spacing w:line="480" w:lineRule="auto"/>
              <w:rPr>
                <w:rFonts w:ascii="宋体" w:hAnsi="宋体"/>
                <w:color w:val="000000" w:themeColor="text1"/>
                <w:highlight w:val="none"/>
              </w:rPr>
            </w:pPr>
            <w:r>
              <w:rPr>
                <w:rFonts w:ascii="宋体" w:hAnsi="宋体"/>
                <w:color w:val="000000" w:themeColor="text1"/>
                <w:highlight w:val="none"/>
              </w:rPr>
              <w:t xml:space="preserve">70</w:t>
            </w:r>
            <w:r>
              <w:rPr>
                <w:rFonts w:hint="eastAsia" w:ascii="宋体" w:hAnsi="宋体"/>
                <w:color w:val="000000" w:themeColor="text1"/>
                <w:highlight w:val="none"/>
              </w:rPr>
              <w:t xml:space="preserve">分</w:t>
            </w:r>
            <w:r/>
          </w:p>
        </w:tc>
        <w:tc>
          <w:tcPr>
            <w:tcW w:w="7682" w:type="dxa"/>
            <w:vAlign w:val="center"/>
            <w:textDirection w:val="lrTb"/>
            <w:noWrap w:val="false"/>
          </w:tcPr>
          <w:p>
            <w:pPr>
              <w:pStyle w:val="774"/>
              <w:ind w:firstLine="420"/>
              <w:spacing w:line="320" w:lineRule="exact"/>
              <w:rPr>
                <w:rFonts w:hint="eastAsia" w:ascii="宋体" w:hAnsi="宋体" w:eastAsia="宋体" w:cs="宋体"/>
                <w:bCs/>
                <w:color w:val="000000" w:themeColor="text1"/>
                <w:szCs w:val="21"/>
                <w:highlight w:val="none"/>
                <w:lang w:val="zh-TW"/>
              </w:rPr>
            </w:pPr>
            <w:r>
              <w:rPr>
                <w:rFonts w:hint="eastAsia" w:ascii="宋体" w:hAnsi="宋体" w:eastAsia="宋体" w:cs="宋体"/>
                <w:bCs/>
                <w:color w:val="000000" w:themeColor="text1"/>
                <w:szCs w:val="21"/>
                <w:highlight w:val="none"/>
                <w:lang w:val="zh-TW" w:eastAsia="zh-TW"/>
              </w:rPr>
              <w:t xml:space="preserve">满足</w:t>
            </w:r>
            <w:r>
              <w:rPr>
                <w:rFonts w:hint="eastAsia" w:ascii="宋体" w:hAnsi="宋体" w:eastAsia="宋体" w:cs="宋体"/>
                <w:bCs/>
                <w:color w:val="000000" w:themeColor="text1"/>
                <w:szCs w:val="21"/>
                <w:highlight w:val="none"/>
                <w:lang w:val="zh-TW"/>
              </w:rPr>
              <w:t xml:space="preserve">磋商</w:t>
            </w:r>
            <w:r>
              <w:rPr>
                <w:rFonts w:hint="eastAsia" w:ascii="宋体" w:hAnsi="宋体" w:eastAsia="宋体" w:cs="宋体"/>
                <w:bCs/>
                <w:color w:val="000000" w:themeColor="text1"/>
                <w:szCs w:val="21"/>
                <w:highlight w:val="none"/>
                <w:lang w:val="zh-TW" w:eastAsia="zh-TW"/>
              </w:rPr>
              <w:t xml:space="preserve">文件</w:t>
            </w:r>
            <w:r>
              <w:rPr>
                <w:rFonts w:hint="eastAsia" w:ascii="宋体" w:hAnsi="宋体" w:eastAsia="宋体" w:cs="宋体"/>
                <w:bCs/>
                <w:color w:val="000000" w:themeColor="text1"/>
                <w:szCs w:val="21"/>
                <w:highlight w:val="none"/>
                <w:lang w:val="zh-TW"/>
              </w:rPr>
              <w:t xml:space="preserve">实质性</w:t>
            </w:r>
            <w:r>
              <w:rPr>
                <w:rFonts w:hint="eastAsia" w:ascii="宋体" w:hAnsi="宋体" w:eastAsia="宋体" w:cs="宋体"/>
                <w:bCs/>
                <w:color w:val="000000" w:themeColor="text1"/>
                <w:szCs w:val="21"/>
                <w:highlight w:val="none"/>
                <w:lang w:val="zh-TW" w:eastAsia="zh-TW"/>
              </w:rPr>
              <w:t xml:space="preserve">要求且</w:t>
            </w:r>
            <w:r>
              <w:rPr>
                <w:rFonts w:hint="eastAsia" w:ascii="宋体" w:hAnsi="宋体" w:eastAsia="宋体" w:cs="宋体"/>
                <w:bCs/>
                <w:color w:val="000000" w:themeColor="text1"/>
                <w:szCs w:val="21"/>
                <w:highlight w:val="none"/>
                <w:lang w:val="zh-TW"/>
              </w:rPr>
              <w:t xml:space="preserve">最</w:t>
            </w:r>
            <w:r>
              <w:rPr>
                <w:rFonts w:hint="eastAsia" w:ascii="宋体" w:hAnsi="宋体" w:eastAsia="宋体" w:cs="宋体"/>
                <w:bCs/>
                <w:color w:val="000000" w:themeColor="text1"/>
                <w:szCs w:val="21"/>
                <w:highlight w:val="none"/>
                <w:lang w:val="zh-TW" w:eastAsia="zh-CN"/>
              </w:rPr>
              <w:t xml:space="preserve">后</w:t>
            </w:r>
            <w:r>
              <w:rPr>
                <w:rFonts w:hint="eastAsia" w:ascii="宋体" w:hAnsi="宋体" w:eastAsia="宋体" w:cs="宋体"/>
                <w:bCs/>
                <w:color w:val="000000" w:themeColor="text1"/>
                <w:szCs w:val="21"/>
                <w:highlight w:val="none"/>
                <w:lang w:val="zh-TW" w:eastAsia="zh-TW"/>
              </w:rPr>
              <w:t xml:space="preserve">报价</w:t>
            </w:r>
            <w:r>
              <w:rPr>
                <w:rFonts w:hint="eastAsia" w:ascii="宋体" w:hAnsi="宋体" w:eastAsia="宋体" w:cs="宋体"/>
                <w:bCs/>
                <w:color w:val="000000" w:themeColor="text1"/>
                <w:szCs w:val="21"/>
                <w:highlight w:val="none"/>
                <w:lang w:val="zh-TW"/>
              </w:rPr>
              <w:t xml:space="preserve">最低的投标报价</w:t>
            </w:r>
            <w:r>
              <w:rPr>
                <w:rFonts w:hint="eastAsia" w:ascii="宋体" w:hAnsi="宋体" w:eastAsia="宋体" w:cs="宋体"/>
                <w:bCs/>
                <w:color w:val="000000" w:themeColor="text1"/>
                <w:szCs w:val="21"/>
                <w:highlight w:val="none"/>
                <w:lang w:val="zh-TW" w:eastAsia="zh-TW"/>
              </w:rPr>
              <w:t xml:space="preserve">为评标基准价。其他</w:t>
            </w:r>
            <w:r>
              <w:rPr>
                <w:rFonts w:hint="eastAsia" w:ascii="宋体" w:hAnsi="宋体" w:eastAsia="宋体" w:cs="宋体"/>
                <w:bCs/>
                <w:color w:val="000000" w:themeColor="text1"/>
                <w:szCs w:val="21"/>
                <w:highlight w:val="none"/>
                <w:lang w:val="zh-TW"/>
              </w:rPr>
              <w:t xml:space="preserve">有效</w:t>
            </w:r>
            <w:r>
              <w:rPr>
                <w:rFonts w:hint="eastAsia" w:ascii="宋体" w:hAnsi="宋体" w:eastAsia="宋体" w:cs="宋体"/>
                <w:bCs/>
                <w:color w:val="000000" w:themeColor="text1"/>
                <w:szCs w:val="21"/>
                <w:highlight w:val="none"/>
                <w:lang w:val="zh-TW" w:eastAsia="zh-TW"/>
              </w:rPr>
              <w:t xml:space="preserve">投标人的价格分</w:t>
            </w:r>
            <w:r>
              <w:rPr>
                <w:rFonts w:hint="eastAsia" w:ascii="宋体" w:hAnsi="宋体" w:eastAsia="宋体" w:cs="宋体"/>
                <w:bCs/>
                <w:color w:val="000000" w:themeColor="text1"/>
                <w:szCs w:val="21"/>
                <w:highlight w:val="none"/>
                <w:lang w:val="zh-TW"/>
              </w:rPr>
              <w:t xml:space="preserve">统一</w:t>
            </w:r>
            <w:r>
              <w:rPr>
                <w:rFonts w:hint="eastAsia" w:ascii="宋体" w:hAnsi="宋体" w:eastAsia="宋体" w:cs="宋体"/>
                <w:bCs/>
                <w:color w:val="000000" w:themeColor="text1"/>
                <w:szCs w:val="21"/>
                <w:highlight w:val="none"/>
                <w:lang w:val="zh-TW" w:eastAsia="zh-TW"/>
              </w:rPr>
              <w:t xml:space="preserve">按照下列公式计算：</w:t>
            </w:r>
            <w:r/>
          </w:p>
          <w:p>
            <w:pPr>
              <w:pStyle w:val="774"/>
              <w:ind w:firstLine="420"/>
              <w:spacing w:line="320" w:lineRule="exact"/>
              <w:rPr>
                <w:rFonts w:hint="eastAsia" w:ascii="宋体" w:hAnsi="宋体" w:cs="宋体"/>
                <w:bCs/>
                <w:color w:val="000000" w:themeColor="text1"/>
                <w:szCs w:val="21"/>
                <w:highlight w:val="none"/>
              </w:rPr>
            </w:pPr>
            <w:r>
              <w:rPr>
                <w:rFonts w:hint="eastAsia" w:ascii="宋体" w:hAnsi="宋体" w:eastAsia="宋体" w:cs="宋体"/>
                <w:bCs/>
                <w:color w:val="000000" w:themeColor="text1"/>
                <w:szCs w:val="21"/>
                <w:highlight w:val="none"/>
                <w:lang w:val="zh-TW"/>
              </w:rPr>
              <w:t xml:space="preserve">磋商</w:t>
            </w:r>
            <w:r>
              <w:rPr>
                <w:rFonts w:hint="eastAsia" w:ascii="宋体" w:hAnsi="宋体" w:eastAsia="宋体" w:cs="宋体"/>
                <w:bCs/>
                <w:color w:val="000000" w:themeColor="text1"/>
                <w:szCs w:val="21"/>
                <w:highlight w:val="none"/>
                <w:lang w:val="zh-TW" w:eastAsia="zh-TW"/>
              </w:rPr>
              <w:t xml:space="preserve">报价</w:t>
            </w:r>
            <w:r>
              <w:rPr>
                <w:rFonts w:hint="eastAsia" w:ascii="宋体" w:hAnsi="宋体" w:eastAsia="宋体" w:cs="宋体"/>
                <w:bCs/>
                <w:color w:val="000000" w:themeColor="text1"/>
                <w:szCs w:val="21"/>
                <w:highlight w:val="none"/>
                <w:lang w:val="zh-TW"/>
              </w:rPr>
              <w:t xml:space="preserve">得分=(评标基准价／磋商报价)×</w:t>
            </w:r>
            <w:r>
              <w:rPr>
                <w:rFonts w:hint="eastAsia" w:ascii="宋体" w:hAnsi="宋体" w:eastAsia="宋体" w:cs="宋体"/>
                <w:bCs/>
                <w:color w:val="000000" w:themeColor="text1"/>
                <w:szCs w:val="21"/>
                <w:highlight w:val="none"/>
              </w:rPr>
              <w:t xml:space="preserve">70，小数点后保留2位。</w:t>
            </w:r>
            <w:r/>
          </w:p>
        </w:tc>
      </w:tr>
      <w:tr>
        <w:trPr>
          <w:trHeight w:val="237"/>
        </w:trPr>
        <w:tc>
          <w:tcPr>
            <w:tcW w:w="1144" w:type="dxa"/>
            <w:vAlign w:val="center"/>
            <w:textDirection w:val="lrTb"/>
            <w:noWrap w:val="false"/>
          </w:tcPr>
          <w:p>
            <w:pPr>
              <w:jc w:val="center"/>
              <w:spacing w:line="480" w:lineRule="auto"/>
              <w:rPr>
                <w:rFonts w:ascii="宋体" w:hAnsi="宋体"/>
                <w:color w:val="000000" w:themeColor="text1"/>
                <w:highlight w:val="none"/>
              </w:rPr>
            </w:pPr>
            <w:r>
              <w:rPr>
                <w:rFonts w:hint="eastAsia" w:ascii="宋体" w:hAnsi="宋体"/>
                <w:color w:val="000000" w:themeColor="text1"/>
                <w:highlight w:val="none"/>
              </w:rPr>
              <w:t xml:space="preserve">业绩</w:t>
            </w:r>
            <w:r/>
          </w:p>
        </w:tc>
        <w:tc>
          <w:tcPr>
            <w:tcW w:w="1104" w:type="dxa"/>
            <w:vAlign w:val="center"/>
            <w:textDirection w:val="lrTb"/>
            <w:noWrap w:val="false"/>
          </w:tcPr>
          <w:p>
            <w:pPr>
              <w:jc w:val="center"/>
              <w:spacing w:line="480" w:lineRule="auto"/>
              <w:rPr>
                <w:rFonts w:ascii="宋体" w:hAnsi="宋体"/>
                <w:color w:val="000000" w:themeColor="text1"/>
                <w:highlight w:val="none"/>
              </w:rPr>
            </w:pPr>
            <w:r>
              <w:rPr>
                <w:rFonts w:hint="eastAsia" w:ascii="宋体" w:hAnsi="宋体"/>
                <w:color w:val="000000" w:themeColor="text1"/>
                <w:highlight w:val="none"/>
              </w:rPr>
              <w:t xml:space="preserve">9</w:t>
            </w:r>
            <w:r>
              <w:rPr>
                <w:rFonts w:ascii="宋体" w:hAnsi="宋体"/>
                <w:color w:val="000000" w:themeColor="text1"/>
                <w:highlight w:val="none"/>
              </w:rPr>
              <w:t xml:space="preserve">分</w:t>
            </w:r>
            <w:r/>
          </w:p>
        </w:tc>
        <w:tc>
          <w:tcPr>
            <w:tcW w:w="7682" w:type="dxa"/>
            <w:textDirection w:val="lrTb"/>
            <w:noWrap w:val="false"/>
          </w:tcPr>
          <w:p>
            <w:pPr>
              <w:pStyle w:val="774"/>
              <w:ind w:firstLine="420"/>
              <w:spacing w:line="32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供应商自2022年9月1日以来（以竣工验收证明时间为准）承接过类似业绩（装修改造工程）的，每提供1个得3分，最多得9分。</w:t>
            </w:r>
            <w:r/>
          </w:p>
          <w:p>
            <w:pPr>
              <w:pStyle w:val="774"/>
              <w:rPr>
                <w:rFonts w:ascii="宋体" w:hAnsi="宋体" w:cs="宋体"/>
                <w:color w:val="000000" w:themeColor="text1"/>
                <w:szCs w:val="21"/>
                <w:highlight w:val="none"/>
              </w:rPr>
            </w:pPr>
            <w:r>
              <w:rPr>
                <w:rFonts w:hint="eastAsia" w:ascii="宋体" w:hAnsi="宋体" w:cs="宋体"/>
                <w:bCs/>
                <w:color w:val="000000" w:themeColor="text1"/>
                <w:szCs w:val="21"/>
                <w:highlight w:val="none"/>
              </w:rPr>
              <w:t xml:space="preserve">注：投标时需提供施工合同、竣工验收证明复印件并加盖投标供应商公章，提供不全或未提供的不得分（同一采购人签订的</w:t>
            </w:r>
            <w:r>
              <w:rPr>
                <w:rFonts w:hint="eastAsia"/>
                <w:color w:val="000000" w:themeColor="text1"/>
                <w:highlight w:val="none"/>
              </w:rPr>
              <w:t xml:space="preserve">多份</w:t>
            </w:r>
            <w:r>
              <w:rPr>
                <w:rFonts w:hint="eastAsia" w:ascii="宋体" w:hAnsi="宋体" w:cs="宋体"/>
                <w:bCs/>
                <w:color w:val="000000" w:themeColor="text1"/>
                <w:szCs w:val="21"/>
                <w:highlight w:val="none"/>
              </w:rPr>
              <w:t xml:space="preserve">合同，不重复计分）。</w:t>
            </w:r>
            <w:r/>
          </w:p>
        </w:tc>
      </w:tr>
      <w:tr>
        <w:trPr>
          <w:trHeight w:val="237"/>
        </w:trPr>
        <w:tc>
          <w:tcPr>
            <w:tcW w:w="1144" w:type="dxa"/>
            <w:vAlign w:val="center"/>
            <w:textDirection w:val="lrTb"/>
            <w:noWrap w:val="false"/>
          </w:tcPr>
          <w:p>
            <w:pPr>
              <w:jc w:val="center"/>
              <w:spacing w:line="480" w:lineRule="auto"/>
              <w:rPr>
                <w:rFonts w:ascii="宋体" w:hAnsi="宋体"/>
                <w:color w:val="000000" w:themeColor="text1"/>
                <w:highlight w:val="none"/>
              </w:rPr>
            </w:pPr>
            <w:r>
              <w:rPr>
                <w:rFonts w:hint="eastAsia" w:ascii="宋体" w:hAnsi="宋体"/>
                <w:color w:val="000000" w:themeColor="text1"/>
                <w:highlight w:val="none"/>
              </w:rPr>
              <w:t xml:space="preserve">企业实力</w:t>
            </w:r>
            <w:r/>
          </w:p>
        </w:tc>
        <w:tc>
          <w:tcPr>
            <w:tcW w:w="1104" w:type="dxa"/>
            <w:vAlign w:val="center"/>
            <w:textDirection w:val="lrTb"/>
            <w:noWrap w:val="false"/>
          </w:tcPr>
          <w:p>
            <w:pPr>
              <w:ind w:firstLine="210"/>
              <w:spacing w:line="480" w:lineRule="auto"/>
              <w:rPr>
                <w:rFonts w:ascii="宋体" w:hAnsi="宋体"/>
                <w:color w:val="000000" w:themeColor="text1"/>
                <w:highlight w:val="none"/>
              </w:rPr>
            </w:pPr>
            <w:r>
              <w:rPr>
                <w:rFonts w:ascii="宋体" w:hAnsi="宋体"/>
                <w:color w:val="000000" w:themeColor="text1"/>
                <w:highlight w:val="none"/>
              </w:rPr>
              <w:t xml:space="preserve">6</w:t>
            </w:r>
            <w:r>
              <w:rPr>
                <w:rFonts w:hint="eastAsia" w:ascii="宋体" w:hAnsi="宋体"/>
                <w:color w:val="000000" w:themeColor="text1"/>
                <w:highlight w:val="none"/>
              </w:rPr>
              <w:t xml:space="preserve">分</w:t>
            </w:r>
            <w:r/>
          </w:p>
        </w:tc>
        <w:tc>
          <w:tcPr>
            <w:tcW w:w="7682" w:type="dxa"/>
            <w:textDirection w:val="lrTb"/>
            <w:noWrap w:val="false"/>
          </w:tcPr>
          <w:p>
            <w:pPr>
              <w:pStyle w:val="774"/>
              <w:ind w:firstLine="420"/>
              <w:spacing w:line="32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供应商具有有效的质量管理系认证、环境管理体系认证、职业健康安全管理体系认证证书的，每提供一个得</w:t>
            </w:r>
            <w:r>
              <w:rPr>
                <w:rFonts w:ascii="宋体" w:hAnsi="宋体" w:cs="宋体"/>
                <w:color w:val="000000" w:themeColor="text1"/>
                <w:szCs w:val="21"/>
                <w:highlight w:val="none"/>
              </w:rPr>
              <w:t xml:space="preserve">2</w:t>
            </w:r>
            <w:r>
              <w:rPr>
                <w:rFonts w:hint="eastAsia" w:ascii="宋体" w:hAnsi="宋体" w:cs="宋体"/>
                <w:color w:val="000000" w:themeColor="text1"/>
                <w:szCs w:val="21"/>
                <w:highlight w:val="none"/>
              </w:rPr>
              <w:t xml:space="preserve">分，最高得</w:t>
            </w:r>
            <w:r>
              <w:rPr>
                <w:rFonts w:ascii="宋体" w:hAnsi="宋体" w:cs="宋体"/>
                <w:color w:val="000000" w:themeColor="text1"/>
                <w:szCs w:val="21"/>
                <w:highlight w:val="none"/>
              </w:rPr>
              <w:t xml:space="preserve">6</w:t>
            </w:r>
            <w:r>
              <w:rPr>
                <w:rFonts w:hint="eastAsia" w:ascii="宋体" w:hAnsi="宋体" w:cs="宋体"/>
                <w:color w:val="000000" w:themeColor="text1"/>
                <w:szCs w:val="21"/>
                <w:highlight w:val="none"/>
              </w:rPr>
              <w:t xml:space="preserve">分，未提供不得分。</w:t>
            </w:r>
            <w:r/>
          </w:p>
          <w:p>
            <w:pPr>
              <w:pStyle w:val="774"/>
              <w:ind w:firstLine="420"/>
              <w:spacing w:line="320" w:lineRule="exact"/>
              <w:rPr>
                <w:rFonts w:ascii="宋体" w:hAnsi="宋体" w:cs="宋体"/>
                <w:bCs/>
                <w:color w:val="000000" w:themeColor="text1"/>
                <w:szCs w:val="21"/>
                <w:highlight w:val="none"/>
              </w:rPr>
            </w:pPr>
            <w:r>
              <w:rPr>
                <w:rFonts w:hint="eastAsia" w:ascii="宋体" w:hAnsi="宋体" w:cs="宋体"/>
                <w:color w:val="000000" w:themeColor="text1"/>
                <w:szCs w:val="21"/>
                <w:highlight w:val="none"/>
              </w:rPr>
              <w:t xml:space="preserve">注：</w:t>
            </w:r>
            <w:r>
              <w:rPr>
                <w:rFonts w:hint="eastAsia" w:ascii="宋体" w:hAnsi="宋体" w:cs="宋体"/>
                <w:bCs/>
                <w:color w:val="000000" w:themeColor="text1"/>
                <w:szCs w:val="21"/>
                <w:highlight w:val="none"/>
              </w:rPr>
              <w:t xml:space="preserve">投标时</w:t>
            </w:r>
            <w:r>
              <w:rPr>
                <w:rFonts w:hint="eastAsia" w:ascii="宋体" w:hAnsi="宋体" w:cs="宋体"/>
                <w:color w:val="000000" w:themeColor="text1"/>
                <w:szCs w:val="21"/>
                <w:highlight w:val="none"/>
              </w:rPr>
              <w:t xml:space="preserve">以证书原件扫描件和官网查询截图加盖投标人公章为依据，否则不得分；证书须在有效期内并处于有效状态，获得监督审核合格标识，提供证书在认证认可业务信息统一查询平台（http://cx.cnca.cn）的查询结果“有效”的截图或网页扫描页加盖投标人公章。)</w:t>
            </w:r>
            <w:r/>
          </w:p>
        </w:tc>
      </w:tr>
      <w:tr>
        <w:trPr>
          <w:trHeight w:val="237"/>
        </w:trPr>
        <w:tc>
          <w:tcPr>
            <w:tcW w:w="1144" w:type="dxa"/>
            <w:vAlign w:val="center"/>
            <w:textDirection w:val="lrTb"/>
            <w:noWrap w:val="false"/>
          </w:tcPr>
          <w:p>
            <w:pPr>
              <w:jc w:val="center"/>
              <w:spacing w:line="480" w:lineRule="auto"/>
              <w:rPr>
                <w:rFonts w:ascii="宋体" w:hAnsi="宋体"/>
                <w:color w:val="000000" w:themeColor="text1"/>
                <w:highlight w:val="none"/>
              </w:rPr>
            </w:pPr>
            <w:r>
              <w:rPr>
                <w:rFonts w:hint="eastAsia" w:ascii="宋体" w:hAnsi="宋体"/>
                <w:color w:val="000000" w:themeColor="text1"/>
                <w:highlight w:val="none"/>
              </w:rPr>
              <w:t xml:space="preserve">人员配备</w:t>
            </w:r>
            <w:r/>
          </w:p>
        </w:tc>
        <w:tc>
          <w:tcPr>
            <w:tcW w:w="1104" w:type="dxa"/>
            <w:vAlign w:val="center"/>
            <w:textDirection w:val="lrTb"/>
            <w:noWrap w:val="false"/>
          </w:tcPr>
          <w:p>
            <w:pPr>
              <w:jc w:val="center"/>
              <w:spacing w:line="480" w:lineRule="auto"/>
              <w:rPr>
                <w:rFonts w:ascii="宋体" w:hAnsi="宋体"/>
                <w:color w:val="000000" w:themeColor="text1"/>
                <w:highlight w:val="none"/>
              </w:rPr>
            </w:pPr>
            <w:r>
              <w:rPr>
                <w:rFonts w:hint="eastAsia" w:ascii="宋体" w:hAnsi="宋体"/>
                <w:color w:val="000000" w:themeColor="text1"/>
                <w:highlight w:val="none"/>
              </w:rPr>
              <w:t xml:space="preserve">5分</w:t>
            </w:r>
            <w:r/>
          </w:p>
        </w:tc>
        <w:tc>
          <w:tcPr>
            <w:tcW w:w="7682" w:type="dxa"/>
            <w:textDirection w:val="lrTb"/>
            <w:noWrap w:val="false"/>
          </w:tcPr>
          <w:p>
            <w:pPr>
              <w:pStyle w:val="774"/>
              <w:ind w:firstLine="420"/>
              <w:spacing w:line="32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拟投入本项目的项目负责人具有建设工程类中级工程师职称的得1.5分；具有建设工程类高级工程师及以上职称的得2.5分；本项最高得2.5分。(需提供证书复印件及该人员近三个月以来任意一个月在投标单位缴纳社保的证明材料复印件加盖投标人公章)</w:t>
            </w:r>
            <w:r/>
          </w:p>
          <w:p>
            <w:pPr>
              <w:pStyle w:val="774"/>
              <w:ind w:firstLine="420"/>
              <w:spacing w:line="320" w:lineRule="exact"/>
              <w:rPr>
                <w:rFonts w:ascii="宋体" w:hAnsi="宋体" w:cs="宋体"/>
                <w:bCs/>
                <w:color w:val="000000" w:themeColor="text1"/>
                <w:szCs w:val="21"/>
                <w:highlight w:val="none"/>
              </w:rPr>
            </w:pPr>
            <w:r>
              <w:rPr>
                <w:rFonts w:hint="eastAsia" w:ascii="宋体" w:hAnsi="宋体" w:cs="宋体"/>
                <w:color w:val="000000" w:themeColor="text1"/>
                <w:szCs w:val="21"/>
                <w:highlight w:val="none"/>
              </w:rPr>
              <w:t xml:space="preserve">2.拟投入本项目的技术负责人（项目负责人除外）具有建设工程类中级工程师职称的得1.5分；具有建设工程类高级工程师及以上职称的得2.5分；本项最高得2.5分。(需提供证书复印件及该人员近三个月以来任意一个月在投标单位缴纳社保的证明材料复印件加盖投标人公章)</w:t>
            </w:r>
            <w:r/>
          </w:p>
        </w:tc>
      </w:tr>
      <w:tr>
        <w:trPr>
          <w:trHeight w:val="451"/>
        </w:trPr>
        <w:tc>
          <w:tcPr>
            <w:tcW w:w="1144" w:type="dxa"/>
            <w:vAlign w:val="center"/>
            <w:textDirection w:val="lrTb"/>
            <w:noWrap w:val="false"/>
          </w:tcPr>
          <w:p>
            <w:pPr>
              <w:jc w:val="center"/>
              <w:spacing w:line="480" w:lineRule="auto"/>
              <w:rPr>
                <w:rFonts w:ascii="宋体" w:hAnsi="宋体"/>
                <w:color w:val="000000" w:themeColor="text1"/>
                <w:highlight w:val="none"/>
              </w:rPr>
            </w:pPr>
            <w:r>
              <w:rPr>
                <w:rFonts w:hint="eastAsia" w:ascii="宋体" w:hAnsi="宋体"/>
                <w:color w:val="000000" w:themeColor="text1"/>
                <w:highlight w:val="none"/>
              </w:rPr>
              <w:t xml:space="preserve">施工组织方案</w:t>
            </w:r>
            <w:r/>
          </w:p>
        </w:tc>
        <w:tc>
          <w:tcPr>
            <w:tcW w:w="1104" w:type="dxa"/>
            <w:vAlign w:val="center"/>
            <w:textDirection w:val="lrTb"/>
            <w:noWrap w:val="false"/>
          </w:tcPr>
          <w:p>
            <w:pPr>
              <w:jc w:val="center"/>
              <w:spacing w:line="480" w:lineRule="auto"/>
              <w:rPr>
                <w:rFonts w:ascii="宋体" w:hAnsi="宋体"/>
                <w:color w:val="000000" w:themeColor="text1"/>
                <w:highlight w:val="none"/>
              </w:rPr>
            </w:pPr>
            <w:r>
              <w:rPr>
                <w:rFonts w:ascii="宋体" w:hAnsi="宋体"/>
                <w:color w:val="000000" w:themeColor="text1"/>
                <w:highlight w:val="none"/>
              </w:rPr>
              <w:t xml:space="preserve">10</w:t>
            </w:r>
            <w:r>
              <w:rPr>
                <w:rFonts w:hint="eastAsia" w:ascii="宋体" w:hAnsi="宋体"/>
                <w:color w:val="000000" w:themeColor="text1"/>
                <w:highlight w:val="none"/>
              </w:rPr>
              <w:t xml:space="preserve">分</w:t>
            </w:r>
            <w:r/>
          </w:p>
        </w:tc>
        <w:tc>
          <w:tcPr>
            <w:tcW w:w="7682" w:type="dxa"/>
            <w:textDirection w:val="lrTb"/>
            <w:noWrap w:val="false"/>
          </w:tcPr>
          <w:p>
            <w:pPr>
              <w:pStyle w:val="774"/>
              <w:ind w:firstLine="420"/>
              <w:spacing w:line="32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根据投标供应商充分了解本项目前提下，对施工组织设计的完整性、准确性等方面进行综合评分：</w:t>
            </w:r>
            <w:r/>
          </w:p>
          <w:p>
            <w:pPr>
              <w:pStyle w:val="774"/>
              <w:ind w:firstLine="422"/>
              <w:spacing w:line="32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1.施工方案与技术措施（</w:t>
            </w:r>
            <w:r>
              <w:rPr>
                <w:rFonts w:ascii="宋体" w:hAnsi="宋体" w:cs="宋体"/>
                <w:b/>
                <w:color w:val="000000" w:themeColor="text1"/>
                <w:szCs w:val="21"/>
                <w:highlight w:val="none"/>
              </w:rPr>
              <w:t xml:space="preserve">2</w:t>
            </w:r>
            <w:r>
              <w:rPr>
                <w:rFonts w:hint="eastAsia" w:ascii="宋体" w:hAnsi="宋体" w:cs="宋体"/>
                <w:b/>
                <w:color w:val="000000" w:themeColor="text1"/>
                <w:szCs w:val="21"/>
                <w:highlight w:val="none"/>
              </w:rPr>
              <w:t xml:space="preserve">分）</w:t>
            </w:r>
            <w:r/>
          </w:p>
          <w:p>
            <w:pPr>
              <w:pStyle w:val="774"/>
              <w:ind w:firstLine="420"/>
              <w:spacing w:line="32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投标人根据第四章中“项目需求”要求，提供有针对性的、科学有效的施工方案与技术措施方案，至少包含：①施工组织与部署；②技术措施</w:t>
            </w: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③</w:t>
            </w:r>
            <w:r>
              <w:rPr>
                <w:rFonts w:hint="eastAsia" w:ascii="宋体" w:hAnsi="宋体" w:cs="宋体"/>
                <w:color w:val="000000" w:themeColor="text1"/>
                <w:szCs w:val="21"/>
                <w:highlight w:val="none"/>
                <w:lang w:val="zh-CN"/>
              </w:rPr>
              <w:t xml:space="preserve">项目安全措施；④科学施工工艺等</w:t>
            </w:r>
            <w:r>
              <w:rPr>
                <w:rFonts w:hint="eastAsia" w:ascii="宋体" w:hAnsi="宋体" w:cs="宋体"/>
                <w:color w:val="000000" w:themeColor="text1"/>
                <w:szCs w:val="21"/>
                <w:highlight w:val="none"/>
              </w:rPr>
              <w:t xml:space="preserve">方面内容；</w:t>
            </w:r>
            <w:r/>
          </w:p>
          <w:p>
            <w:pPr>
              <w:pStyle w:val="774"/>
              <w:ind w:firstLine="420"/>
              <w:spacing w:line="32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方案内容满足以上全部要求且符合本项目实际需求的，得2分，每有一项内容缺失的扣0.5分；每有一处内容存在缺陷或不满足要求的扣0.1分，直至该项分值0.5分扣完为止，不提供不得分。（</w:t>
            </w:r>
            <w:r>
              <w:rPr>
                <w:rFonts w:hint="eastAsia" w:ascii="宋体" w:hAnsi="宋体" w:cs="宋体"/>
                <w:color w:val="000000" w:themeColor="text1"/>
                <w:szCs w:val="21"/>
                <w:highlight w:val="none"/>
                <w:lang w:val="zh-CN"/>
              </w:rPr>
              <w:t xml:space="preserve">缺陷是指不适用于本项目，表述前后不一致或内容矛盾，语句有歧义，仅有框架或标题，涉及的规范及标准错误，套用其他项目内容等任意一种情形</w:t>
            </w:r>
            <w:r>
              <w:rPr>
                <w:rFonts w:hint="eastAsia" w:ascii="宋体" w:hAnsi="宋体" w:cs="宋体"/>
                <w:color w:val="000000" w:themeColor="text1"/>
                <w:szCs w:val="21"/>
                <w:highlight w:val="none"/>
              </w:rPr>
              <w:t xml:space="preserve">）</w:t>
            </w:r>
            <w:r/>
          </w:p>
          <w:p>
            <w:pPr>
              <w:pStyle w:val="774"/>
              <w:ind w:firstLine="422"/>
              <w:spacing w:line="32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2.工程进度计划与保证措施（</w:t>
            </w:r>
            <w:r>
              <w:rPr>
                <w:rFonts w:ascii="宋体" w:hAnsi="宋体" w:cs="宋体"/>
                <w:b/>
                <w:color w:val="000000" w:themeColor="text1"/>
                <w:szCs w:val="21"/>
                <w:highlight w:val="none"/>
              </w:rPr>
              <w:t xml:space="preserve">2</w:t>
            </w:r>
            <w:r>
              <w:rPr>
                <w:rFonts w:hint="eastAsia" w:ascii="宋体" w:hAnsi="宋体" w:cs="宋体"/>
                <w:b/>
                <w:color w:val="000000" w:themeColor="text1"/>
                <w:szCs w:val="21"/>
                <w:highlight w:val="none"/>
              </w:rPr>
              <w:t xml:space="preserve">分）</w:t>
            </w:r>
            <w:r/>
          </w:p>
          <w:p>
            <w:pPr>
              <w:pStyle w:val="774"/>
              <w:ind w:firstLine="420"/>
              <w:spacing w:line="32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投标人根据第四章中“项目需求”要求，提供有针对性的、科学有效的</w:t>
            </w:r>
            <w:r>
              <w:rPr>
                <w:rFonts w:hint="eastAsia" w:ascii="宋体" w:hAnsi="宋体" w:cs="宋体"/>
                <w:bCs/>
                <w:color w:val="000000" w:themeColor="text1"/>
                <w:szCs w:val="21"/>
                <w:highlight w:val="none"/>
                <w:lang w:val="zh-CN"/>
              </w:rPr>
              <w:t xml:space="preserve">工程进度计划与保证措施方案，</w:t>
            </w:r>
            <w:r>
              <w:rPr>
                <w:rFonts w:hint="eastAsia" w:ascii="宋体" w:hAnsi="宋体" w:cs="宋体"/>
                <w:color w:val="000000" w:themeColor="text1"/>
                <w:szCs w:val="21"/>
                <w:highlight w:val="none"/>
              </w:rPr>
              <w:t xml:space="preserve">至少包含：</w:t>
            </w:r>
            <w:r>
              <w:rPr>
                <w:rFonts w:hint="eastAsia" w:ascii="宋体" w:hAnsi="宋体" w:cs="宋体"/>
                <w:bCs/>
                <w:color w:val="000000" w:themeColor="text1"/>
                <w:szCs w:val="21"/>
                <w:highlight w:val="none"/>
                <w:lang w:val="zh-CN"/>
              </w:rPr>
              <w:t xml:space="preserve">①</w:t>
            </w:r>
            <w:r>
              <w:rPr>
                <w:rFonts w:ascii="宋体" w:hAnsi="宋体" w:cs="宋体"/>
                <w:color w:val="000000" w:themeColor="text1"/>
                <w:szCs w:val="21"/>
                <w:highlight w:val="none"/>
              </w:rPr>
              <w:t xml:space="preserve">对施工进度的关键因素分析</w:t>
            </w:r>
            <w:r>
              <w:rPr>
                <w:rFonts w:hint="eastAsia" w:ascii="宋体" w:hAnsi="宋体" w:cs="宋体"/>
                <w:bCs/>
                <w:color w:val="000000" w:themeColor="text1"/>
                <w:szCs w:val="21"/>
                <w:highlight w:val="none"/>
                <w:lang w:val="zh-CN"/>
              </w:rPr>
              <w:t xml:space="preserve">；②工程实施计划；</w:t>
            </w:r>
            <w:r>
              <w:rPr>
                <w:rFonts w:hint="eastAsia" w:ascii="汉仪书宋二S" w:hAnsi="汉仪书宋二S" w:eastAsia="汉仪书宋二S" w:cs="汉仪书宋二S"/>
                <w:bCs/>
                <w:color w:val="000000" w:themeColor="text1"/>
                <w:szCs w:val="21"/>
                <w:highlight w:val="none"/>
                <w:lang w:val="zh-CN"/>
              </w:rPr>
              <w:t xml:space="preserve">③工期</w:t>
            </w:r>
            <w:r>
              <w:rPr>
                <w:rFonts w:hint="eastAsia" w:ascii="宋体" w:hAnsi="宋体" w:cs="宋体"/>
                <w:bCs/>
                <w:color w:val="000000" w:themeColor="text1"/>
                <w:szCs w:val="21"/>
                <w:highlight w:val="none"/>
                <w:lang w:val="zh-CN"/>
              </w:rPr>
              <w:t xml:space="preserve">进度安排；</w:t>
            </w:r>
            <w:r>
              <w:rPr>
                <w:rFonts w:hint="eastAsia" w:ascii="汉仪书宋二S" w:hAnsi="汉仪书宋二S" w:eastAsia="汉仪书宋二S" w:cs="汉仪书宋二S"/>
                <w:bCs/>
                <w:color w:val="000000" w:themeColor="text1"/>
                <w:szCs w:val="21"/>
                <w:highlight w:val="none"/>
                <w:lang w:val="zh-CN"/>
              </w:rPr>
              <w:t xml:space="preserve">④</w:t>
            </w:r>
            <w:r>
              <w:rPr>
                <w:rFonts w:hint="eastAsia" w:ascii="宋体" w:hAnsi="宋体" w:cs="宋体"/>
                <w:bCs/>
                <w:color w:val="000000" w:themeColor="text1"/>
                <w:szCs w:val="21"/>
                <w:highlight w:val="none"/>
                <w:lang w:val="zh-CN"/>
              </w:rPr>
              <w:t xml:space="preserve">应急措施等方面内容</w:t>
            </w:r>
            <w:r>
              <w:rPr>
                <w:rFonts w:hint="eastAsia" w:ascii="宋体" w:hAnsi="宋体" w:cs="宋体"/>
                <w:color w:val="000000" w:themeColor="text1"/>
                <w:szCs w:val="21"/>
                <w:highlight w:val="none"/>
              </w:rPr>
              <w:t xml:space="preserve">；</w:t>
            </w:r>
            <w:r/>
          </w:p>
          <w:p>
            <w:pPr>
              <w:pStyle w:val="774"/>
              <w:ind w:firstLine="420"/>
              <w:spacing w:line="32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方案内容满足以上全部要求且符合本项目实际需求的，得2分，每有一项内容缺失的扣0.5分；每有一处内容存在缺陷或不满足要求的扣0.1分，直至该项分值0.5分扣完为止，不提供不得分。（</w:t>
            </w:r>
            <w:r>
              <w:rPr>
                <w:rFonts w:hint="eastAsia" w:ascii="宋体" w:hAnsi="宋体" w:cs="宋体"/>
                <w:color w:val="000000" w:themeColor="text1"/>
                <w:szCs w:val="21"/>
                <w:highlight w:val="none"/>
                <w:lang w:val="zh-CN"/>
              </w:rPr>
              <w:t xml:space="preserve">缺陷是指不适用于本项目，表述前后不一致或内容矛盾，语句有歧义，仅有框架或标题，涉及的规范及标准错误，套用其他项目内容等任意一种情形</w:t>
            </w:r>
            <w:r>
              <w:rPr>
                <w:rFonts w:hint="eastAsia" w:ascii="宋体" w:hAnsi="宋体" w:cs="宋体"/>
                <w:color w:val="000000" w:themeColor="text1"/>
                <w:szCs w:val="21"/>
                <w:highlight w:val="none"/>
              </w:rPr>
              <w:t xml:space="preserve">）</w:t>
            </w:r>
            <w:r/>
          </w:p>
          <w:p>
            <w:pPr>
              <w:pStyle w:val="774"/>
              <w:ind w:firstLine="422"/>
              <w:spacing w:line="32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3. 安全管理体系和措施（</w:t>
            </w:r>
            <w:r>
              <w:rPr>
                <w:rFonts w:ascii="宋体" w:hAnsi="宋体" w:cs="宋体"/>
                <w:b/>
                <w:color w:val="000000" w:themeColor="text1"/>
                <w:szCs w:val="21"/>
                <w:highlight w:val="none"/>
              </w:rPr>
              <w:t xml:space="preserve">2</w:t>
            </w:r>
            <w:r>
              <w:rPr>
                <w:rFonts w:hint="eastAsia" w:ascii="宋体" w:hAnsi="宋体" w:cs="宋体"/>
                <w:b/>
                <w:color w:val="000000" w:themeColor="text1"/>
                <w:szCs w:val="21"/>
                <w:highlight w:val="none"/>
              </w:rPr>
              <w:t xml:space="preserve">分）</w:t>
            </w:r>
            <w:r/>
          </w:p>
          <w:p>
            <w:pPr>
              <w:ind w:firstLine="21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投标人根据第四章中“项目需求”要求，提供有针对性的、科学有效</w:t>
            </w:r>
            <w:r>
              <w:rPr>
                <w:rFonts w:hint="eastAsia" w:ascii="宋体" w:hAnsi="宋体" w:cs="宋体"/>
                <w:color w:val="000000" w:themeColor="text1"/>
                <w:szCs w:val="21"/>
                <w:highlight w:val="none"/>
                <w:lang w:val="zh-CN"/>
              </w:rPr>
              <w:t xml:space="preserve">的</w:t>
            </w:r>
            <w:r>
              <w:rPr>
                <w:rFonts w:hint="eastAsia" w:ascii="宋体" w:hAnsi="宋体" w:cs="宋体"/>
                <w:bCs/>
                <w:color w:val="000000" w:themeColor="text1"/>
                <w:szCs w:val="21"/>
                <w:highlight w:val="none"/>
              </w:rPr>
              <w:t xml:space="preserve">安全管理体系和措施</w:t>
            </w:r>
            <w:r>
              <w:rPr>
                <w:rFonts w:hint="eastAsia" w:ascii="宋体" w:hAnsi="宋体" w:cs="宋体"/>
                <w:color w:val="000000" w:themeColor="text1"/>
                <w:szCs w:val="21"/>
                <w:highlight w:val="none"/>
              </w:rPr>
              <w:t xml:space="preserve">方案</w:t>
            </w:r>
            <w:r>
              <w:rPr>
                <w:rFonts w:hint="eastAsia" w:ascii="宋体" w:hAnsi="宋体" w:cs="宋体"/>
                <w:color w:val="000000" w:themeColor="text1"/>
                <w:szCs w:val="21"/>
                <w:highlight w:val="none"/>
                <w:lang w:val="zh-CN"/>
              </w:rPr>
              <w:t xml:space="preserve">，至少包含</w:t>
            </w:r>
            <w:r>
              <w:rPr>
                <w:rFonts w:hint="eastAsia" w:ascii="宋体" w:hAnsi="宋体" w:cs="宋体"/>
                <w:color w:val="000000" w:themeColor="text1"/>
                <w:szCs w:val="21"/>
                <w:highlight w:val="none"/>
              </w:rPr>
              <w:t xml:space="preserve">：</w:t>
            </w:r>
            <w:r>
              <w:rPr>
                <w:rFonts w:hint="eastAsia" w:ascii="宋体" w:hAnsi="宋体" w:cs="宋体"/>
                <w:bCs/>
                <w:color w:val="000000" w:themeColor="text1"/>
                <w:szCs w:val="21"/>
                <w:highlight w:val="none"/>
              </w:rPr>
              <w:t xml:space="preserve">①安全管理体系；②</w:t>
            </w:r>
            <w:r>
              <w:rPr>
                <w:rFonts w:hint="eastAsia" w:ascii="宋体" w:hAnsi="宋体" w:cs="宋体"/>
                <w:color w:val="000000" w:themeColor="text1"/>
                <w:szCs w:val="21"/>
                <w:highlight w:val="none"/>
              </w:rPr>
              <w:t xml:space="preserve">安全管理制度</w:t>
            </w:r>
            <w:r>
              <w:rPr>
                <w:rFonts w:hint="eastAsia" w:ascii="宋体" w:hAnsi="宋体" w:cs="宋体"/>
                <w:bCs/>
                <w:color w:val="000000" w:themeColor="text1"/>
                <w:szCs w:val="21"/>
                <w:highlight w:val="none"/>
              </w:rPr>
              <w:t xml:space="preserve">；③岗位职责的健全；④安全保证措施</w:t>
            </w:r>
            <w:r>
              <w:rPr>
                <w:rFonts w:hint="eastAsia" w:ascii="宋体" w:hAnsi="宋体" w:cs="宋体"/>
                <w:bCs/>
                <w:color w:val="000000" w:themeColor="text1"/>
                <w:szCs w:val="21"/>
                <w:highlight w:val="none"/>
                <w:lang w:val="zh-CN"/>
              </w:rPr>
              <w:t xml:space="preserve">等</w:t>
            </w:r>
            <w:r>
              <w:rPr>
                <w:rFonts w:hint="eastAsia" w:ascii="宋体" w:hAnsi="宋体" w:cs="宋体"/>
                <w:bCs/>
                <w:color w:val="000000" w:themeColor="text1"/>
                <w:szCs w:val="21"/>
                <w:highlight w:val="none"/>
              </w:rPr>
              <w:t xml:space="preserve">方面内容</w:t>
            </w:r>
            <w:r>
              <w:rPr>
                <w:rFonts w:hint="eastAsia" w:ascii="宋体" w:hAnsi="宋体" w:cs="宋体"/>
                <w:color w:val="000000" w:themeColor="text1"/>
                <w:szCs w:val="21"/>
                <w:highlight w:val="none"/>
              </w:rPr>
              <w:t xml:space="preserve">；</w:t>
            </w:r>
            <w:r/>
          </w:p>
          <w:p>
            <w:pPr>
              <w:ind w:firstLine="210"/>
              <w:jc w:val="left"/>
              <w:spacing w:line="360" w:lineRule="auto"/>
              <w:rPr>
                <w:rFonts w:ascii="宋体" w:hAnsi="宋体" w:cs="宋体"/>
                <w:bCs/>
                <w:color w:val="000000" w:themeColor="text1"/>
                <w:szCs w:val="21"/>
                <w:highlight w:val="none"/>
              </w:rPr>
            </w:pPr>
            <w:r>
              <w:rPr>
                <w:rFonts w:hint="eastAsia" w:ascii="宋体" w:hAnsi="宋体" w:cs="宋体"/>
                <w:color w:val="000000" w:themeColor="text1"/>
                <w:szCs w:val="21"/>
                <w:highlight w:val="none"/>
              </w:rPr>
              <w:t xml:space="preserve">方案内容满足以上全部要求且符合本项目实际需求的，得2分，每有一项内容缺失的扣0.5分；每有一处内容存在缺陷或不满足要求的扣0.1分，直至该项分值0.5分扣完为止，不提供不得分。（</w:t>
            </w:r>
            <w:r>
              <w:rPr>
                <w:rFonts w:hint="eastAsia" w:ascii="宋体" w:hAnsi="宋体" w:cs="宋体"/>
                <w:color w:val="000000" w:themeColor="text1"/>
                <w:szCs w:val="21"/>
                <w:highlight w:val="none"/>
                <w:lang w:val="zh-CN"/>
              </w:rPr>
              <w:t xml:space="preserve">缺陷是指不适用于本项目，表述前后不一致或内容矛盾，语句有歧义，仅有框架或标题，涉及的规范及标准错误，套用其他项目内容等任意一种情形</w:t>
            </w:r>
            <w:r>
              <w:rPr>
                <w:rFonts w:hint="eastAsia" w:ascii="宋体" w:hAnsi="宋体" w:cs="宋体"/>
                <w:color w:val="000000" w:themeColor="text1"/>
                <w:szCs w:val="21"/>
                <w:highlight w:val="none"/>
              </w:rPr>
              <w:t xml:space="preserve">）</w:t>
            </w:r>
            <w:r/>
          </w:p>
          <w:p>
            <w:pPr>
              <w:pStyle w:val="774"/>
              <w:ind w:firstLine="422"/>
              <w:spacing w:line="32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4.项目组织结构（</w:t>
            </w:r>
            <w:r>
              <w:rPr>
                <w:rFonts w:ascii="宋体" w:hAnsi="宋体" w:cs="宋体"/>
                <w:b/>
                <w:color w:val="000000" w:themeColor="text1"/>
                <w:szCs w:val="21"/>
                <w:highlight w:val="none"/>
              </w:rPr>
              <w:t xml:space="preserve">1</w:t>
            </w:r>
            <w:r>
              <w:rPr>
                <w:rFonts w:hint="eastAsia" w:ascii="宋体" w:hAnsi="宋体" w:cs="宋体"/>
                <w:b/>
                <w:color w:val="000000" w:themeColor="text1"/>
                <w:szCs w:val="21"/>
                <w:highlight w:val="none"/>
              </w:rPr>
              <w:t xml:space="preserve">分）</w:t>
            </w:r>
            <w:r/>
          </w:p>
          <w:p>
            <w:pPr>
              <w:ind w:firstLine="21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投标人根据第四章中“项目需求”要求，提供有针对性的、科学有效的</w:t>
            </w:r>
            <w:r>
              <w:rPr>
                <w:rFonts w:hint="eastAsia" w:ascii="宋体" w:hAnsi="宋体" w:cs="宋体"/>
                <w:bCs/>
                <w:color w:val="000000" w:themeColor="text1"/>
                <w:szCs w:val="21"/>
                <w:highlight w:val="none"/>
              </w:rPr>
              <w:t xml:space="preserve">项目组织结构</w:t>
            </w:r>
            <w:r>
              <w:rPr>
                <w:rFonts w:hint="eastAsia" w:ascii="宋体" w:hAnsi="宋体" w:cs="宋体"/>
                <w:color w:val="000000" w:themeColor="text1"/>
                <w:szCs w:val="21"/>
                <w:highlight w:val="none"/>
              </w:rPr>
              <w:t xml:space="preserve">方案</w:t>
            </w: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至少包含：①</w:t>
            </w:r>
            <w:r>
              <w:rPr>
                <w:rFonts w:hint="eastAsia" w:ascii="宋体" w:hAnsi="宋体" w:cs="宋体"/>
                <w:bCs/>
                <w:color w:val="000000" w:themeColor="text1"/>
                <w:szCs w:val="21"/>
                <w:highlight w:val="none"/>
              </w:rPr>
              <w:t xml:space="preserve">合理安排项目部组织结构；②项目组人员专业齐全，执业资格齐全</w:t>
            </w:r>
            <w:r>
              <w:rPr>
                <w:rFonts w:hint="eastAsia" w:ascii="宋体" w:hAnsi="宋体" w:cs="宋体"/>
                <w:bCs/>
                <w:color w:val="000000" w:themeColor="text1"/>
                <w:szCs w:val="21"/>
                <w:highlight w:val="none"/>
                <w:lang w:val="zh-CN"/>
              </w:rPr>
              <w:t xml:space="preserve">等</w:t>
            </w:r>
            <w:r>
              <w:rPr>
                <w:rFonts w:hint="eastAsia" w:ascii="宋体" w:hAnsi="宋体" w:cs="宋体"/>
                <w:bCs/>
                <w:color w:val="000000" w:themeColor="text1"/>
                <w:szCs w:val="21"/>
                <w:highlight w:val="none"/>
              </w:rPr>
              <w:t xml:space="preserve">方面内容</w:t>
            </w:r>
            <w:r>
              <w:rPr>
                <w:rFonts w:hint="eastAsia" w:ascii="宋体" w:hAnsi="宋体" w:cs="宋体"/>
                <w:color w:val="000000" w:themeColor="text1"/>
                <w:szCs w:val="21"/>
                <w:highlight w:val="none"/>
              </w:rPr>
              <w:t xml:space="preserve">；</w:t>
            </w:r>
            <w:r/>
          </w:p>
          <w:p>
            <w:pPr>
              <w:ind w:firstLine="210"/>
              <w:jc w:val="left"/>
              <w:spacing w:line="360" w:lineRule="auto"/>
              <w:rPr>
                <w:rFonts w:ascii="宋体" w:hAnsi="宋体" w:cs="宋体"/>
                <w:b/>
                <w:color w:val="000000" w:themeColor="text1"/>
                <w:szCs w:val="21"/>
                <w:highlight w:val="none"/>
              </w:rPr>
            </w:pPr>
            <w:r>
              <w:rPr>
                <w:rFonts w:hint="eastAsia" w:ascii="宋体" w:hAnsi="宋体" w:cs="宋体"/>
                <w:color w:val="000000" w:themeColor="text1"/>
                <w:szCs w:val="21"/>
                <w:highlight w:val="none"/>
              </w:rPr>
              <w:t xml:space="preserve">方案内容满足以上全部要求且符合本项目实际需求的，得1分，每有一项内容缺失的扣0.5分；每有一处内容存在缺陷或不满足要求的扣0.1分，直至该项分值0.5分扣完为止，不提供不得分。（</w:t>
            </w:r>
            <w:r>
              <w:rPr>
                <w:rFonts w:hint="eastAsia" w:ascii="宋体" w:hAnsi="宋体" w:cs="宋体"/>
                <w:color w:val="000000" w:themeColor="text1"/>
                <w:szCs w:val="21"/>
                <w:highlight w:val="none"/>
                <w:lang w:val="zh-CN"/>
              </w:rPr>
              <w:t xml:space="preserve">缺陷是指不适用于本项目，表述前后不一致或内容矛盾，语句有歧义，仅有框架或标题，涉及的规范及标准错误，套用其他项目内容等任意一种情形</w:t>
            </w:r>
            <w:r>
              <w:rPr>
                <w:rFonts w:hint="eastAsia" w:ascii="宋体" w:hAnsi="宋体" w:cs="宋体"/>
                <w:color w:val="000000" w:themeColor="text1"/>
                <w:szCs w:val="21"/>
                <w:highlight w:val="none"/>
              </w:rPr>
              <w:t xml:space="preserve">）</w:t>
            </w:r>
            <w:r/>
          </w:p>
          <w:p>
            <w:pPr>
              <w:pStyle w:val="774"/>
              <w:ind w:firstLine="422"/>
              <w:spacing w:line="32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5.质量管理体系和措施（</w:t>
            </w:r>
            <w:r>
              <w:rPr>
                <w:rFonts w:ascii="宋体" w:hAnsi="宋体" w:cs="宋体"/>
                <w:b/>
                <w:color w:val="000000" w:themeColor="text1"/>
                <w:szCs w:val="21"/>
                <w:highlight w:val="none"/>
              </w:rPr>
              <w:t xml:space="preserve">1</w:t>
            </w:r>
            <w:r>
              <w:rPr>
                <w:rFonts w:hint="eastAsia" w:ascii="宋体" w:hAnsi="宋体" w:cs="宋体"/>
                <w:b/>
                <w:color w:val="000000" w:themeColor="text1"/>
                <w:szCs w:val="21"/>
                <w:highlight w:val="none"/>
              </w:rPr>
              <w:t xml:space="preserve">分）</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投标人根据第四章中“项目需求”要求，提供有针对性的、科学有效</w:t>
            </w:r>
            <w:r>
              <w:rPr>
                <w:rFonts w:hint="eastAsia" w:ascii="宋体" w:hAnsi="宋体" w:cs="宋体"/>
                <w:color w:val="000000" w:themeColor="text1"/>
                <w:szCs w:val="21"/>
                <w:highlight w:val="none"/>
                <w:lang w:val="zh-CN"/>
              </w:rPr>
              <w:t xml:space="preserve">的</w:t>
            </w:r>
            <w:r>
              <w:rPr>
                <w:rFonts w:hint="eastAsia" w:ascii="宋体" w:hAnsi="宋体" w:cs="宋体"/>
                <w:bCs/>
                <w:color w:val="000000" w:themeColor="text1"/>
                <w:szCs w:val="21"/>
                <w:highlight w:val="none"/>
              </w:rPr>
              <w:t xml:space="preserve">质量管理体系和措施</w:t>
            </w:r>
            <w:r>
              <w:rPr>
                <w:rFonts w:hint="eastAsia" w:ascii="宋体" w:hAnsi="宋体" w:cs="宋体"/>
                <w:color w:val="000000" w:themeColor="text1"/>
                <w:szCs w:val="21"/>
                <w:highlight w:val="none"/>
              </w:rPr>
              <w:t xml:space="preserve">方案</w:t>
            </w: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至少包含：①</w:t>
            </w:r>
            <w:r>
              <w:rPr>
                <w:rFonts w:hint="eastAsia" w:ascii="宋体" w:hAnsi="宋体" w:cs="宋体"/>
                <w:bCs/>
                <w:color w:val="000000" w:themeColor="text1"/>
                <w:szCs w:val="21"/>
                <w:highlight w:val="none"/>
              </w:rPr>
              <w:t xml:space="preserve">确定质量方针和目标；②质量管理体系</w:t>
            </w:r>
            <w:r>
              <w:rPr>
                <w:rFonts w:hint="eastAsia" w:ascii="宋体" w:hAnsi="宋体" w:cs="宋体"/>
                <w:bCs/>
                <w:color w:val="000000" w:themeColor="text1"/>
                <w:szCs w:val="21"/>
                <w:highlight w:val="none"/>
                <w:lang w:val="zh-CN"/>
              </w:rPr>
              <w:t xml:space="preserve">等</w:t>
            </w:r>
            <w:r>
              <w:rPr>
                <w:rFonts w:hint="eastAsia" w:ascii="宋体" w:hAnsi="宋体" w:cs="宋体"/>
                <w:bCs/>
                <w:color w:val="000000" w:themeColor="text1"/>
                <w:szCs w:val="21"/>
                <w:highlight w:val="none"/>
              </w:rPr>
              <w:t xml:space="preserve">方面内容</w:t>
            </w:r>
            <w:r>
              <w:rPr>
                <w:rFonts w:hint="eastAsia" w:ascii="宋体" w:hAnsi="宋体" w:cs="宋体"/>
                <w:color w:val="000000" w:themeColor="text1"/>
                <w:szCs w:val="21"/>
                <w:highlight w:val="none"/>
              </w:rPr>
              <w:t xml:space="preserve">；</w:t>
            </w:r>
            <w:r/>
          </w:p>
          <w:p>
            <w:pPr>
              <w:ind w:firstLine="420"/>
              <w:spacing w:line="360" w:lineRule="auto"/>
              <w:rPr>
                <w:rFonts w:ascii="宋体" w:hAnsi="宋体" w:cs="宋体"/>
                <w:b/>
                <w:color w:val="000000" w:themeColor="text1"/>
                <w:szCs w:val="21"/>
                <w:highlight w:val="none"/>
              </w:rPr>
            </w:pPr>
            <w:r>
              <w:rPr>
                <w:rFonts w:hint="eastAsia" w:ascii="宋体" w:hAnsi="宋体" w:cs="宋体"/>
                <w:color w:val="000000" w:themeColor="text1"/>
                <w:szCs w:val="21"/>
                <w:highlight w:val="none"/>
              </w:rPr>
              <w:t xml:space="preserve">方案内容满足以上全部要求且符合本项目实际需求的，得1分，每有一项内容缺失的扣0.5分；每有一处内容存在缺陷或不满足要求的扣0.1分，直至该项分值0.5分扣完为止，不提供不得分。（</w:t>
            </w:r>
            <w:r>
              <w:rPr>
                <w:rFonts w:hint="eastAsia" w:ascii="宋体" w:hAnsi="宋体" w:cs="宋体"/>
                <w:color w:val="000000" w:themeColor="text1"/>
                <w:szCs w:val="21"/>
                <w:highlight w:val="none"/>
                <w:lang w:val="zh-CN"/>
              </w:rPr>
              <w:t xml:space="preserve">缺陷是指不适用于本项目，表述前后不一致或内容矛盾，语句有歧义，仅有框架或标题，涉及的规范及标准错误，套用其他项目内容等任意一种情形</w:t>
            </w:r>
            <w:r>
              <w:rPr>
                <w:rFonts w:hint="eastAsia" w:ascii="宋体" w:hAnsi="宋体" w:cs="宋体"/>
                <w:color w:val="000000" w:themeColor="text1"/>
                <w:szCs w:val="21"/>
                <w:highlight w:val="none"/>
              </w:rPr>
              <w:t xml:space="preserve">）</w:t>
            </w:r>
            <w:r/>
          </w:p>
          <w:p>
            <w:pPr>
              <w:pStyle w:val="774"/>
              <w:ind w:firstLine="422"/>
              <w:spacing w:line="320" w:lineRule="exact"/>
              <w:rPr>
                <w:rFonts w:ascii="宋体" w:hAnsi="宋体" w:cs="宋体"/>
                <w:bCs/>
                <w:color w:val="000000" w:themeColor="text1"/>
                <w:szCs w:val="21"/>
                <w:highlight w:val="none"/>
              </w:rPr>
            </w:pPr>
            <w:r>
              <w:rPr>
                <w:rFonts w:hint="eastAsia" w:ascii="宋体" w:hAnsi="宋体" w:cs="宋体"/>
                <w:b/>
                <w:color w:val="000000" w:themeColor="text1"/>
                <w:szCs w:val="21"/>
                <w:highlight w:val="none"/>
              </w:rPr>
              <w:t xml:space="preserve">6. 文明施工及环境保护方案（</w:t>
            </w:r>
            <w:r>
              <w:rPr>
                <w:rFonts w:ascii="宋体" w:hAnsi="宋体" w:cs="宋体"/>
                <w:b/>
                <w:color w:val="000000" w:themeColor="text1"/>
                <w:szCs w:val="21"/>
                <w:highlight w:val="none"/>
              </w:rPr>
              <w:t xml:space="preserve">1</w:t>
            </w:r>
            <w:r>
              <w:rPr>
                <w:rFonts w:hint="eastAsia" w:ascii="宋体" w:hAnsi="宋体" w:cs="宋体"/>
                <w:b/>
                <w:color w:val="000000" w:themeColor="text1"/>
                <w:szCs w:val="21"/>
                <w:highlight w:val="none"/>
              </w:rPr>
              <w:t xml:space="preserve">分</w:t>
            </w:r>
            <w:r>
              <w:rPr>
                <w:rFonts w:hint="eastAsia" w:ascii="宋体" w:hAnsi="宋体" w:cs="宋体"/>
                <w:bCs/>
                <w:color w:val="000000" w:themeColor="text1"/>
                <w:szCs w:val="21"/>
                <w:highlight w:val="none"/>
              </w:rPr>
              <w:t xml:space="preserve">）</w:t>
            </w:r>
            <w:r/>
          </w:p>
          <w:p>
            <w:pPr>
              <w:ind w:firstLine="420"/>
              <w:spacing w:line="360" w:lineRule="auto"/>
              <w:rPr>
                <w:rFonts w:ascii="宋体" w:hAnsi="宋体" w:cs="宋体"/>
                <w:b/>
                <w:color w:val="000000" w:themeColor="text1"/>
                <w:szCs w:val="21"/>
                <w:highlight w:val="none"/>
              </w:rPr>
            </w:pPr>
            <w:r>
              <w:rPr>
                <w:rFonts w:hint="eastAsia" w:ascii="宋体" w:hAnsi="宋体" w:cs="宋体"/>
                <w:color w:val="000000" w:themeColor="text1"/>
                <w:szCs w:val="21"/>
                <w:highlight w:val="none"/>
              </w:rPr>
              <w:t xml:space="preserve">投标人根据第四章中“项目需求”要求，提供有针对性的、科学有效</w:t>
            </w:r>
            <w:r>
              <w:rPr>
                <w:rFonts w:hint="eastAsia" w:ascii="宋体" w:hAnsi="宋体" w:cs="宋体"/>
                <w:color w:val="000000" w:themeColor="text1"/>
                <w:szCs w:val="21"/>
                <w:highlight w:val="none"/>
                <w:lang w:val="zh-CN"/>
              </w:rPr>
              <w:t xml:space="preserve">的</w:t>
            </w:r>
            <w:r>
              <w:rPr>
                <w:rFonts w:hint="eastAsia" w:ascii="宋体" w:hAnsi="宋体" w:cs="宋体"/>
                <w:bCs/>
                <w:color w:val="000000" w:themeColor="text1"/>
                <w:szCs w:val="21"/>
                <w:highlight w:val="none"/>
              </w:rPr>
              <w:t xml:space="preserve">文明施工及环境保护方案</w:t>
            </w:r>
            <w:r>
              <w:rPr>
                <w:rFonts w:hint="eastAsia" w:ascii="宋体" w:hAnsi="宋体" w:cs="宋体"/>
                <w:color w:val="000000" w:themeColor="text1"/>
                <w:szCs w:val="21"/>
                <w:highlight w:val="none"/>
              </w:rPr>
              <w:t xml:space="preserve">，至少包含：①文明施工要求；</w:t>
            </w:r>
            <w:r>
              <w:rPr>
                <w:rFonts w:hint="eastAsia" w:ascii="宋体" w:hAnsi="宋体" w:cs="宋体"/>
                <w:bCs/>
                <w:color w:val="000000" w:themeColor="text1"/>
                <w:szCs w:val="21"/>
                <w:highlight w:val="none"/>
              </w:rPr>
              <w:t xml:space="preserve">②</w:t>
            </w:r>
            <w:r>
              <w:rPr>
                <w:rFonts w:hint="eastAsia" w:ascii="宋体" w:hAnsi="宋体" w:cs="宋体"/>
                <w:color w:val="000000" w:themeColor="text1"/>
                <w:szCs w:val="21"/>
                <w:highlight w:val="none"/>
              </w:rPr>
              <w:t xml:space="preserve">事故与火灾预防等方面内容；</w:t>
            </w:r>
            <w:r>
              <w:rPr>
                <w:rFonts w:hint="eastAsia" w:ascii="宋体" w:hAnsi="宋体" w:cs="宋体"/>
                <w:color w:val="000000" w:themeColor="text1"/>
                <w:szCs w:val="21"/>
                <w:highlight w:val="none"/>
              </w:rPr>
              <w:t xml:space="preserve">方案内容满足以上全部要求且符合本项目实际需求的，得1分，每有一项内容缺失的扣0.5分；每有一处内容存在缺陷或不满足要求的扣0.1分，直至该项分值0.5分扣完为止，不提供不得分。（</w:t>
            </w:r>
            <w:r>
              <w:rPr>
                <w:rFonts w:hint="eastAsia" w:ascii="宋体" w:hAnsi="宋体" w:cs="宋体"/>
                <w:color w:val="000000" w:themeColor="text1"/>
                <w:szCs w:val="21"/>
                <w:highlight w:val="none"/>
                <w:lang w:val="zh-CN"/>
              </w:rPr>
              <w:t xml:space="preserve">缺陷是指不适用于本项目，表述前后不一致或内容矛盾，语句有歧义，仅有框架或标题，涉及的规范及标准错误，套用其他项目内容等任意一种情形</w:t>
            </w:r>
            <w:r>
              <w:rPr>
                <w:rFonts w:hint="eastAsia" w:ascii="宋体" w:hAnsi="宋体" w:cs="宋体"/>
                <w:color w:val="000000" w:themeColor="text1"/>
                <w:szCs w:val="21"/>
                <w:highlight w:val="none"/>
              </w:rPr>
              <w:t xml:space="preserve">）</w:t>
            </w:r>
            <w:r/>
          </w:p>
          <w:p>
            <w:pPr>
              <w:pStyle w:val="774"/>
              <w:ind w:firstLine="422"/>
              <w:spacing w:line="32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7.质保期内的服务方案（</w:t>
            </w:r>
            <w:r>
              <w:rPr>
                <w:rFonts w:ascii="宋体" w:hAnsi="宋体" w:cs="宋体"/>
                <w:b/>
                <w:color w:val="000000" w:themeColor="text1"/>
                <w:szCs w:val="21"/>
                <w:highlight w:val="none"/>
              </w:rPr>
              <w:t xml:space="preserve">1</w:t>
            </w:r>
            <w:r>
              <w:rPr>
                <w:rFonts w:hint="eastAsia" w:ascii="宋体" w:hAnsi="宋体" w:cs="宋体"/>
                <w:b/>
                <w:color w:val="000000" w:themeColor="text1"/>
                <w:szCs w:val="21"/>
                <w:highlight w:val="none"/>
              </w:rPr>
              <w:t xml:space="preserve">分）</w:t>
            </w:r>
            <w:r/>
          </w:p>
          <w:p>
            <w:pPr>
              <w:ind w:firstLine="420"/>
              <w:spacing w:line="360" w:lineRule="auto"/>
              <w:rPr>
                <w:rFonts w:ascii="宋体" w:hAnsi="宋体" w:cs="宋体"/>
                <w:bCs/>
                <w:color w:val="000000" w:themeColor="text1"/>
                <w:szCs w:val="21"/>
                <w:highlight w:val="none"/>
              </w:rPr>
            </w:pPr>
            <w:r>
              <w:rPr>
                <w:rFonts w:hint="eastAsia" w:ascii="宋体" w:hAnsi="宋体" w:cs="宋体"/>
                <w:color w:val="000000" w:themeColor="text1"/>
                <w:szCs w:val="21"/>
                <w:highlight w:val="none"/>
              </w:rPr>
              <w:t xml:space="preserve">投标人根据第四章中“项目需求”要求，提供有针对性的、科学有效</w:t>
            </w:r>
            <w:r>
              <w:rPr>
                <w:rFonts w:hint="eastAsia" w:ascii="宋体" w:hAnsi="宋体" w:cs="宋体"/>
                <w:color w:val="000000" w:themeColor="text1"/>
                <w:szCs w:val="21"/>
                <w:highlight w:val="none"/>
                <w:lang w:val="zh-CN"/>
              </w:rPr>
              <w:t xml:space="preserve">的的</w:t>
            </w:r>
            <w:r>
              <w:rPr>
                <w:rFonts w:hint="eastAsia" w:ascii="宋体" w:hAnsi="宋体" w:cs="宋体"/>
                <w:bCs/>
                <w:color w:val="000000" w:themeColor="text1"/>
                <w:szCs w:val="21"/>
                <w:highlight w:val="none"/>
              </w:rPr>
              <w:t xml:space="preserve">质保期内的服务方案</w:t>
            </w:r>
            <w:r>
              <w:rPr>
                <w:rFonts w:hint="eastAsia" w:ascii="宋体" w:hAnsi="宋体" w:cs="宋体"/>
                <w:color w:val="000000" w:themeColor="text1"/>
                <w:szCs w:val="21"/>
                <w:highlight w:val="none"/>
              </w:rPr>
              <w:t xml:space="preserve">，至少包含：①质保期服务计划制定；</w:t>
            </w:r>
            <w:r>
              <w:rPr>
                <w:rFonts w:hint="eastAsia" w:ascii="宋体" w:hAnsi="宋体" w:cs="宋体"/>
                <w:bCs/>
                <w:color w:val="000000" w:themeColor="text1"/>
                <w:szCs w:val="21"/>
                <w:highlight w:val="none"/>
              </w:rPr>
              <w:t xml:space="preserve">②</w:t>
            </w:r>
            <w:r>
              <w:rPr>
                <w:rFonts w:hint="eastAsia" w:ascii="宋体" w:hAnsi="宋体" w:cs="宋体"/>
                <w:color w:val="000000" w:themeColor="text1"/>
                <w:szCs w:val="21"/>
                <w:highlight w:val="none"/>
              </w:rPr>
              <w:t xml:space="preserve">工程质保期内的维修等方面内容；</w:t>
            </w:r>
            <w:r>
              <w:rPr>
                <w:rFonts w:hint="eastAsia" w:ascii="宋体" w:hAnsi="宋体" w:cs="宋体"/>
                <w:color w:val="000000" w:themeColor="text1"/>
                <w:szCs w:val="21"/>
                <w:highlight w:val="none"/>
                <w:lang w:val="zh-CN"/>
              </w:rPr>
              <w:t xml:space="preserve">评委根据供应商提供的适合本项目的</w:t>
            </w:r>
            <w:r>
              <w:rPr>
                <w:rFonts w:hint="eastAsia" w:ascii="宋体" w:hAnsi="宋体" w:cs="宋体"/>
                <w:color w:val="000000" w:themeColor="text1"/>
                <w:szCs w:val="21"/>
                <w:highlight w:val="none"/>
              </w:rPr>
              <w:t xml:space="preserve">项目实施进度方案</w:t>
            </w:r>
            <w:r>
              <w:rPr>
                <w:rFonts w:hint="eastAsia" w:ascii="宋体" w:hAnsi="宋体" w:cs="宋体"/>
                <w:color w:val="000000" w:themeColor="text1"/>
                <w:szCs w:val="21"/>
                <w:highlight w:val="none"/>
                <w:lang w:val="zh-CN"/>
              </w:rPr>
              <w:t xml:space="preserve">进行评审：</w:t>
            </w:r>
            <w:r>
              <w:rPr>
                <w:rFonts w:hint="eastAsia" w:ascii="宋体" w:hAnsi="宋体" w:cs="宋体"/>
                <w:color w:val="000000" w:themeColor="text1"/>
                <w:szCs w:val="21"/>
                <w:highlight w:val="none"/>
              </w:rPr>
              <w:t xml:space="preserve">方案内容满足以上全部要求且符合本项目实际需求的，得1分，每有一项内容缺失的扣0.5分；每有一处内容存在缺陷或不满足要求的扣0.1分，直至该项分值0.5分扣完为止，不提供不得分。（</w:t>
            </w:r>
            <w:r>
              <w:rPr>
                <w:rFonts w:hint="eastAsia" w:ascii="宋体" w:hAnsi="宋体" w:cs="宋体"/>
                <w:color w:val="000000" w:themeColor="text1"/>
                <w:szCs w:val="21"/>
                <w:highlight w:val="none"/>
                <w:lang w:val="zh-CN"/>
              </w:rPr>
              <w:t xml:space="preserve">缺陷是指不适用于本项目，表述前后不一致或内容矛盾，语句有歧义，仅有框架或标题，涉及的规范及标准错误，套用其他项目内容等任意一种情形</w:t>
            </w:r>
            <w:r>
              <w:rPr>
                <w:rFonts w:hint="eastAsia" w:ascii="宋体" w:hAnsi="宋体" w:cs="宋体"/>
                <w:color w:val="000000" w:themeColor="text1"/>
                <w:szCs w:val="21"/>
                <w:highlight w:val="none"/>
              </w:rPr>
              <w:t xml:space="preserve">）</w:t>
            </w:r>
            <w:r/>
          </w:p>
        </w:tc>
      </w:tr>
    </w:tbl>
    <w:p>
      <w:pPr>
        <w:jc w:val="left"/>
        <w:spacing w:line="360" w:lineRule="auto"/>
        <w:rPr>
          <w:rFonts w:ascii="宋体" w:hAnsi="宋体"/>
          <w:b/>
          <w:color w:val="000000" w:themeColor="text1"/>
          <w:highlight w:val="none"/>
        </w:rPr>
      </w:pPr>
      <w:r>
        <w:rPr>
          <w:rFonts w:ascii="宋体" w:hAnsi="宋体"/>
          <w:b/>
          <w:color w:val="000000" w:themeColor="text1"/>
          <w:highlight w:val="none"/>
        </w:rPr>
      </w:r>
      <w:r/>
    </w:p>
    <w:p>
      <w:pPr>
        <w:jc w:val="left"/>
        <w:widowControl/>
        <w:rPr>
          <w:rFonts w:ascii="Cambria" w:hAnsi="Cambria"/>
          <w:b/>
          <w:bCs/>
          <w:color w:val="000000" w:themeColor="text1"/>
          <w:sz w:val="36"/>
          <w:szCs w:val="36"/>
          <w:highlight w:val="none"/>
        </w:rPr>
      </w:pPr>
      <w:r>
        <w:rPr>
          <w:color w:val="000000" w:themeColor="text1"/>
          <w:sz w:val="36"/>
          <w:szCs w:val="36"/>
          <w:highlight w:val="none"/>
        </w:rPr>
        <w:br w:type="page" w:clear="all"/>
      </w:r>
      <w:r/>
    </w:p>
    <w:p>
      <w:pPr>
        <w:pStyle w:val="805"/>
        <w:rPr>
          <w:color w:val="000000" w:themeColor="text1"/>
          <w:sz w:val="36"/>
          <w:szCs w:val="36"/>
          <w:highlight w:val="none"/>
        </w:rPr>
      </w:pPr>
      <w:r/>
      <w:bookmarkStart w:id="229" w:name="_Toc3965"/>
      <w:r/>
      <w:bookmarkStart w:id="230" w:name="_Toc212826117"/>
      <w:r>
        <w:rPr>
          <w:rFonts w:hint="eastAsia"/>
          <w:color w:val="000000" w:themeColor="text1"/>
          <w:sz w:val="36"/>
          <w:szCs w:val="36"/>
          <w:highlight w:val="none"/>
        </w:rPr>
        <w:t xml:space="preserve">第六章  竞争性磋商响应文件格式</w:t>
      </w:r>
      <w:bookmarkEnd w:id="214"/>
      <w:r/>
      <w:bookmarkEnd w:id="215"/>
      <w:r/>
      <w:bookmarkEnd w:id="216"/>
      <w:r/>
      <w:bookmarkEnd w:id="229"/>
      <w:r/>
      <w:bookmarkEnd w:id="230"/>
      <w:r/>
      <w:r/>
    </w:p>
    <w:p>
      <w:pPr>
        <w:jc w:val="center"/>
        <w:rPr>
          <w:rFonts w:ascii="宋体" w:hAnsi="宋体"/>
          <w:b/>
          <w:color w:val="000000" w:themeColor="text1"/>
          <w:sz w:val="72"/>
          <w:szCs w:val="21"/>
          <w:highlight w:val="none"/>
        </w:rPr>
      </w:pPr>
      <w:r>
        <w:rPr>
          <w:rFonts w:ascii="宋体" w:hAnsi="宋体"/>
          <w:b/>
          <w:color w:val="000000" w:themeColor="text1"/>
          <w:sz w:val="72"/>
          <w:szCs w:val="21"/>
          <w:highlight w:val="none"/>
        </w:rPr>
      </w:r>
      <w:r/>
    </w:p>
    <w:p>
      <w:pPr>
        <w:jc w:val="center"/>
        <w:rPr>
          <w:rFonts w:ascii="黑体" w:hAnsi="黑体" w:eastAsia="黑体"/>
          <w:b/>
          <w:color w:val="000000" w:themeColor="text1"/>
          <w:sz w:val="72"/>
          <w:szCs w:val="21"/>
          <w:highlight w:val="none"/>
        </w:rPr>
      </w:pPr>
      <w:r>
        <w:rPr>
          <w:rFonts w:hint="eastAsia" w:ascii="黑体" w:hAnsi="黑体" w:eastAsia="黑体"/>
          <w:b/>
          <w:color w:val="000000" w:themeColor="text1"/>
          <w:sz w:val="72"/>
          <w:szCs w:val="21"/>
          <w:highlight w:val="none"/>
        </w:rPr>
        <w:t xml:space="preserve"> 响 应 文 件</w:t>
      </w:r>
      <w:r/>
    </w:p>
    <w:p>
      <w:pPr>
        <w:pStyle w:val="1064"/>
        <w:ind w:firstLine="0"/>
        <w:jc w:val="center"/>
        <w:rPr>
          <w:rFonts w:ascii="黑体" w:hAnsi="黑体" w:eastAsia="黑体"/>
          <w:b/>
          <w:bCs/>
          <w:color w:val="000000" w:themeColor="text1"/>
          <w:sz w:val="32"/>
          <w:highlight w:val="none"/>
        </w:rPr>
      </w:pPr>
      <w:r>
        <w:rPr>
          <w:rFonts w:ascii="黑体" w:hAnsi="黑体" w:eastAsia="黑体"/>
          <w:b/>
          <w:bCs/>
          <w:color w:val="000000" w:themeColor="text1"/>
          <w:sz w:val="32"/>
          <w:highlight w:val="none"/>
        </w:rPr>
      </w:r>
      <w:r/>
    </w:p>
    <w:p>
      <w:pPr>
        <w:ind w:firstLine="1084"/>
        <w:rPr>
          <w:rFonts w:ascii="黑体" w:hAnsi="黑体" w:eastAsia="黑体"/>
          <w:b/>
          <w:color w:val="000000" w:themeColor="text1"/>
          <w:sz w:val="36"/>
          <w:szCs w:val="21"/>
          <w:highlight w:val="none"/>
        </w:rPr>
      </w:pPr>
      <w:r>
        <w:rPr>
          <w:rFonts w:ascii="黑体" w:hAnsi="黑体" w:eastAsia="黑体"/>
          <w:b/>
          <w:color w:val="000000" w:themeColor="text1"/>
          <w:sz w:val="36"/>
          <w:szCs w:val="21"/>
          <w:highlight w:val="none"/>
        </w:rPr>
      </w:r>
      <w:r/>
    </w:p>
    <w:p>
      <w:pPr>
        <w:ind w:firstLine="1084"/>
        <w:rPr>
          <w:rFonts w:ascii="黑体" w:hAnsi="黑体" w:eastAsia="黑体"/>
          <w:b/>
          <w:color w:val="000000" w:themeColor="text1"/>
          <w:sz w:val="36"/>
          <w:szCs w:val="21"/>
          <w:highlight w:val="none"/>
        </w:rPr>
      </w:pPr>
      <w:r>
        <w:rPr>
          <w:rFonts w:ascii="黑体" w:hAnsi="黑体" w:eastAsia="黑体"/>
          <w:b/>
          <w:color w:val="000000" w:themeColor="text1"/>
          <w:sz w:val="36"/>
          <w:szCs w:val="21"/>
          <w:highlight w:val="none"/>
        </w:rPr>
      </w:r>
      <w:r/>
    </w:p>
    <w:p>
      <w:pPr>
        <w:ind w:firstLine="1084"/>
        <w:rPr>
          <w:rFonts w:ascii="黑体" w:hAnsi="黑体" w:eastAsia="黑体"/>
          <w:b/>
          <w:color w:val="000000" w:themeColor="text1"/>
          <w:sz w:val="36"/>
          <w:szCs w:val="21"/>
          <w:highlight w:val="none"/>
        </w:rPr>
      </w:pPr>
      <w:r>
        <w:rPr>
          <w:rFonts w:ascii="黑体" w:hAnsi="黑体" w:eastAsia="黑体"/>
          <w:b/>
          <w:color w:val="000000" w:themeColor="text1"/>
          <w:sz w:val="36"/>
          <w:szCs w:val="21"/>
          <w:highlight w:val="none"/>
        </w:rPr>
      </w:r>
      <w:r/>
    </w:p>
    <w:p>
      <w:pPr>
        <w:ind w:firstLine="1084"/>
        <w:spacing w:line="700" w:lineRule="exact"/>
        <w:rPr>
          <w:rFonts w:ascii="宋体" w:hAnsi="宋体" w:cs="宋体"/>
          <w:b/>
          <w:color w:val="000000" w:themeColor="text1"/>
          <w:sz w:val="36"/>
          <w:highlight w:val="none"/>
        </w:rPr>
      </w:pPr>
      <w:r>
        <w:rPr>
          <w:rFonts w:hint="eastAsia" w:ascii="宋体" w:hAnsi="宋体" w:cs="宋体"/>
          <w:b/>
          <w:color w:val="000000" w:themeColor="text1"/>
          <w:sz w:val="36"/>
          <w:highlight w:val="none"/>
        </w:rPr>
        <w:t xml:space="preserve">项 目 名 称：</w:t>
      </w:r>
      <w:r/>
    </w:p>
    <w:p>
      <w:pPr>
        <w:ind w:firstLine="1084"/>
        <w:spacing w:line="700" w:lineRule="exact"/>
        <w:rPr>
          <w:rFonts w:ascii="宋体" w:hAnsi="宋体" w:cs="宋体"/>
          <w:b/>
          <w:color w:val="000000" w:themeColor="text1"/>
          <w:sz w:val="36"/>
          <w:highlight w:val="none"/>
        </w:rPr>
      </w:pPr>
      <w:r>
        <w:rPr>
          <w:rFonts w:hint="eastAsia" w:ascii="宋体" w:hAnsi="宋体" w:cs="宋体"/>
          <w:b/>
          <w:color w:val="000000" w:themeColor="text1"/>
          <w:sz w:val="36"/>
          <w:highlight w:val="none"/>
        </w:rPr>
        <w:t xml:space="preserve">项 目 编 号：</w:t>
      </w:r>
      <w:r/>
    </w:p>
    <w:p>
      <w:pPr>
        <w:ind w:firstLine="1084"/>
        <w:spacing w:line="700" w:lineRule="exact"/>
        <w:rPr>
          <w:rFonts w:ascii="宋体" w:hAnsi="宋体" w:cs="宋体"/>
          <w:b/>
          <w:color w:val="000000" w:themeColor="text1"/>
          <w:sz w:val="36"/>
          <w:highlight w:val="none"/>
        </w:rPr>
      </w:pPr>
      <w:r>
        <w:rPr>
          <w:rFonts w:hint="eastAsia" w:ascii="宋体" w:hAnsi="宋体" w:cs="宋体"/>
          <w:b/>
          <w:color w:val="000000" w:themeColor="text1"/>
          <w:sz w:val="36"/>
          <w:highlight w:val="none"/>
        </w:rPr>
        <w:t xml:space="preserve">供应商名称：</w:t>
      </w:r>
      <w:r>
        <w:rPr>
          <w:rFonts w:hint="eastAsia" w:ascii="宋体" w:hAnsi="宋体" w:cs="宋体"/>
          <w:b/>
          <w:color w:val="000000" w:themeColor="text1"/>
          <w:sz w:val="36"/>
          <w:highlight w:val="none"/>
          <w:u w:val="single"/>
        </w:rPr>
        <w:t xml:space="preserve">（加盖CA电子公章）</w:t>
      </w:r>
      <w:r/>
    </w:p>
    <w:p>
      <w:pPr>
        <w:spacing w:line="700" w:lineRule="exact"/>
        <w:rPr>
          <w:rFonts w:ascii="宋体" w:hAnsi="宋体" w:cs="宋体"/>
          <w:b/>
          <w:color w:val="000000" w:themeColor="text1"/>
          <w:sz w:val="36"/>
          <w:highlight w:val="none"/>
        </w:rPr>
      </w:pPr>
      <w:r>
        <w:rPr>
          <w:rFonts w:hint="eastAsia" w:ascii="宋体" w:hAnsi="宋体" w:cs="宋体"/>
          <w:b/>
          <w:color w:val="000000" w:themeColor="text1"/>
          <w:sz w:val="36"/>
          <w:highlight w:val="none"/>
        </w:rPr>
        <w:t xml:space="preserve">      日       期：</w:t>
      </w:r>
      <w:r/>
    </w:p>
    <w:p>
      <w:pPr>
        <w:pStyle w:val="1064"/>
        <w:ind w:firstLine="2464"/>
        <w:rPr>
          <w:rFonts w:ascii="宋体" w:hAnsi="宋体" w:cs="Times New Roman"/>
          <w:bCs/>
          <w:color w:val="000000" w:themeColor="text1"/>
          <w:sz w:val="32"/>
          <w:szCs w:val="32"/>
          <w:highlight w:val="none"/>
        </w:rPr>
      </w:pPr>
      <w:r>
        <w:rPr>
          <w:rFonts w:ascii="宋体" w:hAnsi="宋体" w:cs="Times New Roman"/>
          <w:bCs/>
          <w:color w:val="000000" w:themeColor="text1"/>
          <w:sz w:val="32"/>
          <w:szCs w:val="32"/>
          <w:highlight w:val="none"/>
        </w:rPr>
      </w:r>
      <w:r/>
    </w:p>
    <w:p>
      <w:pPr>
        <w:pStyle w:val="1064"/>
        <w:ind w:firstLine="0"/>
        <w:spacing w:before="0" w:after="0"/>
        <w:rPr>
          <w:rFonts w:ascii="宋体" w:hAnsi="宋体"/>
          <w:color w:val="000000" w:themeColor="text1"/>
          <w:highlight w:val="none"/>
        </w:rPr>
      </w:pPr>
      <w:r>
        <w:rPr>
          <w:rFonts w:ascii="宋体" w:hAnsi="宋体"/>
          <w:color w:val="000000" w:themeColor="text1"/>
          <w:highlight w:val="none"/>
        </w:rPr>
      </w:r>
      <w:r/>
    </w:p>
    <w:p>
      <w:pPr>
        <w:pStyle w:val="1064"/>
        <w:ind w:firstLine="0"/>
        <w:spacing w:before="0" w:after="0"/>
        <w:rPr>
          <w:rFonts w:ascii="宋体" w:hAnsi="宋体"/>
          <w:color w:val="000000" w:themeColor="text1"/>
          <w:highlight w:val="none"/>
        </w:rPr>
      </w:pPr>
      <w:r>
        <w:rPr>
          <w:rFonts w:ascii="宋体" w:hAnsi="宋体"/>
          <w:color w:val="000000" w:themeColor="text1"/>
          <w:highlight w:val="none"/>
        </w:rPr>
      </w:r>
      <w:r/>
    </w:p>
    <w:p>
      <w:pPr>
        <w:pStyle w:val="1064"/>
        <w:ind w:firstLine="0"/>
        <w:spacing w:before="0" w:after="0"/>
        <w:rPr>
          <w:rFonts w:ascii="宋体" w:hAnsi="宋体"/>
          <w:color w:val="000000" w:themeColor="text1"/>
          <w:highlight w:val="none"/>
        </w:rPr>
      </w:pPr>
      <w:r>
        <w:rPr>
          <w:rFonts w:ascii="宋体" w:hAnsi="宋体"/>
          <w:color w:val="000000" w:themeColor="text1"/>
          <w:highlight w:val="none"/>
        </w:rPr>
      </w:r>
      <w:r/>
    </w:p>
    <w:p>
      <w:pPr>
        <w:pStyle w:val="1064"/>
        <w:ind w:firstLine="0"/>
        <w:spacing w:before="0" w:after="0"/>
        <w:rPr>
          <w:rFonts w:ascii="宋体" w:hAnsi="宋体"/>
          <w:color w:val="000000" w:themeColor="text1"/>
          <w:highlight w:val="none"/>
        </w:rPr>
      </w:pPr>
      <w:r>
        <w:rPr>
          <w:rFonts w:ascii="宋体" w:hAnsi="宋体"/>
          <w:color w:val="000000" w:themeColor="text1"/>
          <w:highlight w:val="none"/>
        </w:rPr>
      </w:r>
      <w:r/>
    </w:p>
    <w:p>
      <w:pPr>
        <w:pStyle w:val="1064"/>
        <w:ind w:firstLine="0"/>
        <w:spacing w:before="0" w:after="0"/>
        <w:rPr>
          <w:rFonts w:ascii="宋体" w:hAnsi="宋体"/>
          <w:color w:val="000000" w:themeColor="text1"/>
          <w:highlight w:val="none"/>
        </w:rPr>
      </w:pPr>
      <w:r>
        <w:rPr>
          <w:rFonts w:ascii="宋体" w:hAnsi="宋体"/>
          <w:color w:val="000000" w:themeColor="text1"/>
          <w:highlight w:val="none"/>
        </w:rPr>
      </w:r>
      <w:r/>
    </w:p>
    <w:p>
      <w:pPr>
        <w:pStyle w:val="1064"/>
        <w:ind w:firstLine="0"/>
        <w:spacing w:before="0" w:after="0"/>
        <w:rPr>
          <w:rFonts w:ascii="宋体" w:hAnsi="宋体"/>
          <w:color w:val="000000" w:themeColor="text1"/>
          <w:highlight w:val="none"/>
        </w:rPr>
      </w:pPr>
      <w:r>
        <w:rPr>
          <w:rFonts w:ascii="宋体" w:hAnsi="宋体"/>
          <w:color w:val="000000" w:themeColor="text1"/>
          <w:highlight w:val="none"/>
        </w:rPr>
      </w:r>
      <w:r/>
    </w:p>
    <w:p>
      <w:pPr>
        <w:pStyle w:val="784"/>
        <w:jc w:val="center"/>
        <w:spacing w:line="360" w:lineRule="auto"/>
        <w:rPr>
          <w:rFonts w:ascii="宋体" w:hAnsi="宋体"/>
          <w:color w:val="000000" w:themeColor="text1"/>
          <w:sz w:val="32"/>
          <w:highlight w:val="none"/>
        </w:rPr>
      </w:pPr>
      <w:r>
        <w:rPr>
          <w:rFonts w:ascii="宋体" w:hAnsi="宋体"/>
          <w:color w:val="000000" w:themeColor="text1"/>
          <w:sz w:val="32"/>
          <w:highlight w:val="none"/>
        </w:rPr>
      </w:r>
      <w:r/>
    </w:p>
    <w:p>
      <w:pPr>
        <w:jc w:val="center"/>
        <w:rPr>
          <w:rFonts w:ascii="宋体" w:hAnsi="宋体" w:cs="宋体"/>
          <w:b/>
          <w:color w:val="000000" w:themeColor="text1"/>
          <w:sz w:val="32"/>
          <w:szCs w:val="32"/>
          <w:highlight w:val="none"/>
        </w:rPr>
      </w:pPr>
      <w:r>
        <w:rPr>
          <w:rFonts w:hint="eastAsia" w:ascii="宋体" w:hAnsi="宋体"/>
          <w:b/>
          <w:color w:val="000000" w:themeColor="text1"/>
          <w:sz w:val="32"/>
          <w:szCs w:val="32"/>
          <w:highlight w:val="none"/>
        </w:rPr>
        <w:br w:type="page" w:clear="all"/>
      </w:r>
      <w:r>
        <w:rPr>
          <w:rFonts w:hint="eastAsia" w:ascii="宋体" w:hAnsi="宋体" w:cs="宋体"/>
          <w:b/>
          <w:color w:val="000000" w:themeColor="text1"/>
          <w:sz w:val="32"/>
          <w:szCs w:val="32"/>
          <w:highlight w:val="none"/>
        </w:rPr>
        <w:t xml:space="preserve">响应文件目录</w:t>
      </w:r>
      <w:r/>
    </w:p>
    <w:p>
      <w:pPr>
        <w:jc w:val="center"/>
        <w:spacing w:line="440" w:lineRule="exact"/>
        <w:rPr>
          <w:rFonts w:ascii="宋体" w:hAnsi="宋体"/>
          <w:b/>
          <w:bCs/>
          <w:color w:val="000000" w:themeColor="text1"/>
          <w:sz w:val="32"/>
          <w:szCs w:val="32"/>
          <w:highlight w:val="none"/>
        </w:rPr>
      </w:pPr>
      <w:r>
        <w:rPr>
          <w:rFonts w:ascii="宋体" w:hAnsi="宋体"/>
          <w:b/>
          <w:bCs/>
          <w:color w:val="000000" w:themeColor="text1"/>
          <w:sz w:val="32"/>
          <w:szCs w:val="32"/>
          <w:highlight w:val="none"/>
        </w:rPr>
      </w:r>
      <w:r/>
    </w:p>
    <w:p>
      <w:pPr>
        <w:ind w:firstLine="482"/>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u w:val="single"/>
        </w:rPr>
        <w:t xml:space="preserve">一、法人或者其他组织的营业执照等证明文件，自然人的身份证明</w:t>
      </w:r>
      <w:r/>
    </w:p>
    <w:p>
      <w:pPr>
        <w:ind w:firstLine="482"/>
        <w:spacing w:line="360" w:lineRule="auto"/>
        <w:rPr>
          <w:rFonts w:ascii="宋体" w:hAnsi="宋体" w:cs="宋体"/>
          <w:color w:val="000000" w:themeColor="text1"/>
          <w:sz w:val="24"/>
          <w:highlight w:val="none"/>
          <w:u w:val="single"/>
        </w:rPr>
      </w:pPr>
      <w:r>
        <w:rPr>
          <w:rFonts w:hint="eastAsia" w:ascii="宋体" w:hAnsi="宋体" w:cs="宋体"/>
          <w:b/>
          <w:bCs/>
          <w:color w:val="000000" w:themeColor="text1"/>
          <w:sz w:val="24"/>
          <w:highlight w:val="none"/>
          <w:u w:val="single"/>
        </w:rPr>
        <w:t xml:space="preserve">二、</w:t>
      </w:r>
      <w:r>
        <w:rPr>
          <w:rFonts w:hint="eastAsia" w:ascii="宋体" w:hAnsi="宋体" w:cs="宋体"/>
          <w:color w:val="000000" w:themeColor="text1"/>
          <w:sz w:val="24"/>
          <w:highlight w:val="none"/>
          <w:u w:val="single"/>
        </w:rPr>
        <w:t xml:space="preserve">上一年度的财务状况报表（至少提供资产负债表、利润表、现金流量表，磋商供应商成立不满一年无需提供） </w:t>
      </w:r>
      <w:r/>
    </w:p>
    <w:p>
      <w:pPr>
        <w:ind w:firstLine="482"/>
        <w:spacing w:line="360" w:lineRule="auto"/>
        <w:rPr>
          <w:rFonts w:ascii="宋体" w:hAnsi="宋体" w:cs="宋体"/>
          <w:iCs/>
          <w:color w:val="000000" w:themeColor="text1"/>
          <w:sz w:val="24"/>
          <w:highlight w:val="none"/>
          <w:u w:val="single"/>
        </w:rPr>
      </w:pPr>
      <w:r>
        <w:rPr>
          <w:rFonts w:hint="eastAsia" w:ascii="宋体" w:hAnsi="宋体" w:cs="宋体"/>
          <w:b/>
          <w:iCs/>
          <w:color w:val="000000" w:themeColor="text1"/>
          <w:sz w:val="24"/>
          <w:highlight w:val="none"/>
          <w:u w:val="single"/>
        </w:rPr>
        <w:t xml:space="preserve">三、</w:t>
      </w:r>
      <w:r>
        <w:rPr>
          <w:rFonts w:hint="eastAsia" w:ascii="宋体" w:hAnsi="宋体" w:cs="宋体"/>
          <w:color w:val="000000" w:themeColor="text1"/>
          <w:sz w:val="24"/>
          <w:highlight w:val="none"/>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firstLine="482"/>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u w:val="single"/>
        </w:rPr>
        <w:t xml:space="preserve">四、具备履行合同所必需的设备和专业技术能力的书面声明</w:t>
      </w:r>
      <w:r/>
    </w:p>
    <w:p>
      <w:pPr>
        <w:ind w:firstLine="482"/>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u w:val="single"/>
        </w:rPr>
        <w:t xml:space="preserve">五、参加政府采购活动前3年内在经营活动中没有重大违法记录的书面声明（原件彩色扫描件,格式见附表）</w:t>
      </w:r>
      <w:r/>
    </w:p>
    <w:p>
      <w:pPr>
        <w:ind w:firstLine="482"/>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u w:val="single"/>
        </w:rPr>
        <w:t xml:space="preserve">六、特定资格要求的证明文件（如果本项目设置特定资格要求，则需要提供）</w:t>
      </w:r>
      <w:r/>
    </w:p>
    <w:p>
      <w:pPr>
        <w:ind w:firstLine="482"/>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highlight w:val="none"/>
          <w:u w:val="single"/>
        </w:rPr>
      </w:r>
      <w:r>
        <w:rPr>
          <w:rFonts w:ascii="SimSun" w:hAnsi="SimSun" w:eastAsia="SimSun" w:cs="SimSun"/>
          <w:color w:val="000000"/>
          <w:sz w:val="24"/>
          <w:u w:val="single"/>
        </w:rPr>
        <w:t xml:space="preserve">文件1投标供应商具有安全生产条件，具备安全生产许可证（提供有效安全生产许可证扫描件加盖投标人公章）</w:t>
      </w:r>
      <w:r>
        <w:rPr>
          <w:rFonts w:ascii="宋体" w:hAnsi="宋体" w:cs="宋体"/>
          <w:color w:val="000000" w:themeColor="text1"/>
          <w:sz w:val="24"/>
          <w:highlight w:val="none"/>
          <w:u w:val="single"/>
        </w:rPr>
      </w:r>
      <w:r/>
    </w:p>
    <w:p>
      <w:pPr>
        <w:ind w:firstLine="482"/>
        <w:spacing w:line="360" w:lineRule="auto"/>
        <w:rPr>
          <w:rFonts w:ascii="宋体" w:hAnsi="宋体" w:cs="宋体"/>
          <w:color w:val="000000" w:themeColor="text1"/>
          <w:sz w:val="24"/>
          <w:szCs w:val="24"/>
          <w:highlight w:val="none"/>
          <w:u w:val="single"/>
        </w:rPr>
      </w:pPr>
      <w:r>
        <w:rPr>
          <w:rFonts w:hint="eastAsia" w:ascii="宋体" w:hAnsi="宋体" w:cs="宋体"/>
          <w:color w:val="000000" w:themeColor="text1"/>
          <w:sz w:val="24"/>
          <w:highlight w:val="none"/>
          <w:u w:val="single"/>
        </w:rPr>
      </w:r>
      <w:r>
        <w:rPr>
          <w:rFonts w:hint="eastAsia" w:ascii="宋体" w:hAnsi="宋体" w:cs="宋体"/>
          <w:color w:val="000000" w:themeColor="text1"/>
          <w:sz w:val="24"/>
          <w:highlight w:val="none"/>
          <w:u w:val="single"/>
        </w:rPr>
        <w:t xml:space="preserve">文件2</w:t>
      </w:r>
      <w:r>
        <w:rPr>
          <w:rFonts w:ascii="SimSun" w:hAnsi="SimSun" w:eastAsia="SimSun" w:cs="SimSun"/>
          <w:color w:val="000000"/>
          <w:sz w:val="24"/>
          <w:u w:val="single"/>
        </w:rPr>
        <w:t xml:space="preserve">投标供应商项目经理须为本单位正式员工，提供社保机构出具的近6个月以来至少一个月社保缴费证明材料。（提供加盖社保中心章或社保中心参保缴费证明电子专用章）</w:t>
      </w:r>
      <w:r>
        <w:rPr>
          <w:rFonts w:ascii="宋体" w:hAnsi="宋体" w:cs="宋体"/>
          <w:color w:val="000000" w:themeColor="text1"/>
          <w:sz w:val="24"/>
          <w:highlight w:val="none"/>
          <w:u w:val="single"/>
        </w:rPr>
      </w:r>
      <w:r/>
    </w:p>
    <w:p>
      <w:pPr>
        <w:numPr>
          <w:ilvl w:val="0"/>
          <w:numId w:val="0"/>
        </w:numPr>
        <w:ind w:firstLine="480"/>
        <w:spacing w:line="360" w:lineRule="auto"/>
        <w:rPr>
          <w:color w:val="000000" w:themeColor="text1"/>
          <w:highlight w:val="none"/>
        </w:rPr>
      </w:pPr>
      <w:r>
        <w:rPr>
          <w:rFonts w:hint="eastAsia" w:ascii="宋体" w:hAnsi="宋体" w:cs="宋体"/>
          <w:color w:val="000000" w:themeColor="text1"/>
          <w:sz w:val="24"/>
          <w:highlight w:val="none"/>
          <w:u w:val="single"/>
          <w:lang w:eastAsia="zh-CN"/>
        </w:rPr>
        <w:t xml:space="preserve">七、</w:t>
      </w:r>
      <w:r>
        <w:rPr>
          <w:rFonts w:hint="eastAsia" w:ascii="宋体" w:hAnsi="宋体" w:cs="宋体"/>
          <w:color w:val="000000" w:themeColor="text1"/>
          <w:sz w:val="24"/>
          <w:highlight w:val="none"/>
          <w:u w:val="single"/>
        </w:rPr>
        <w:t xml:space="preserve">法人授权书</w:t>
      </w:r>
      <w:r/>
    </w:p>
    <w:p>
      <w:pPr>
        <w:ind w:firstLine="482"/>
        <w:spacing w:line="360" w:lineRule="auto"/>
        <w:rPr>
          <w:rFonts w:ascii="宋体" w:hAnsi="宋体" w:cs="宋体"/>
          <w:i/>
          <w:color w:val="000000" w:themeColor="text1"/>
          <w:highlight w:val="none"/>
          <w:u w:val="single"/>
        </w:rPr>
      </w:pPr>
      <w:r>
        <w:rPr>
          <w:rFonts w:hint="eastAsia" w:ascii="宋体" w:hAnsi="宋体" w:cs="宋体"/>
          <w:color w:val="000000" w:themeColor="text1"/>
          <w:sz w:val="24"/>
          <w:highlight w:val="none"/>
          <w:u w:val="single"/>
        </w:rPr>
        <w:t xml:space="preserve">八、磋商响应函</w:t>
      </w:r>
      <w:r/>
    </w:p>
    <w:p>
      <w:pPr>
        <w:ind w:firstLine="482"/>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u w:val="single"/>
        </w:rPr>
        <w:t xml:space="preserve">九、中小企业声明函</w:t>
      </w:r>
      <w:r/>
    </w:p>
    <w:p>
      <w:pPr>
        <w:ind w:firstLine="482"/>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u w:val="single"/>
        </w:rPr>
        <w:t xml:space="preserve">十、残疾人福利性单位声明函</w:t>
      </w:r>
      <w:r/>
    </w:p>
    <w:p>
      <w:pPr>
        <w:ind w:firstLine="482"/>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u w:val="single"/>
        </w:rPr>
        <w:t xml:space="preserve">十一、磋商报价表</w:t>
      </w:r>
      <w:r/>
    </w:p>
    <w:p>
      <w:pPr>
        <w:ind w:firstLine="482"/>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u w:val="single"/>
        </w:rPr>
        <w:t xml:space="preserve">十二、已标价的工程量清单</w:t>
      </w:r>
      <w:r/>
    </w:p>
    <w:p>
      <w:pPr>
        <w:ind w:firstLine="482"/>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u w:val="single"/>
        </w:rPr>
        <w:t xml:space="preserve">十三、技术要求响应及偏离表</w:t>
      </w:r>
      <w:r/>
    </w:p>
    <w:p>
      <w:pPr>
        <w:ind w:firstLine="482"/>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u w:val="single"/>
        </w:rPr>
        <w:t xml:space="preserve">十四、商务要求响应及偏离表</w:t>
      </w:r>
      <w:r/>
    </w:p>
    <w:p>
      <w:pPr>
        <w:ind w:firstLine="482"/>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u w:val="single"/>
        </w:rPr>
        <w:t xml:space="preserve">十五、实施方案</w:t>
      </w:r>
      <w:r/>
    </w:p>
    <w:p>
      <w:pPr>
        <w:ind w:firstLine="482"/>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u w:val="single"/>
        </w:rPr>
        <w:t xml:space="preserve">十六、盐城市政府采购事前信用承诺书</w:t>
      </w:r>
      <w:r/>
    </w:p>
    <w:p>
      <w:pPr>
        <w:ind w:firstLine="482"/>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u w:val="single"/>
        </w:rPr>
        <w:t xml:space="preserve">十七、供应商认为需要提供的其他证明材料</w:t>
      </w:r>
      <w:r/>
    </w:p>
    <w:p>
      <w:pPr>
        <w:ind w:firstLine="482"/>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u w:val="single"/>
        </w:rPr>
        <w:t xml:space="preserve">十八、项目建设供应商承诺函</w:t>
      </w:r>
      <w:r/>
    </w:p>
    <w:p>
      <w:pPr>
        <w:jc w:val="left"/>
        <w:rPr>
          <w:rFonts w:ascii="宋体" w:hAnsi="宋体" w:cs="宋体"/>
          <w:b/>
          <w:bCs/>
          <w:color w:val="000000" w:themeColor="text1"/>
          <w:sz w:val="24"/>
          <w:highlight w:val="none"/>
          <w:u w:val="single"/>
        </w:rPr>
      </w:pPr>
      <w:r>
        <w:rPr>
          <w:rFonts w:hint="eastAsia" w:ascii="宋体" w:hAnsi="宋体"/>
          <w:b/>
          <w:color w:val="000000" w:themeColor="text1"/>
          <w:sz w:val="32"/>
          <w:szCs w:val="32"/>
          <w:highlight w:val="none"/>
        </w:rPr>
        <w:br w:type="page" w:clear="all"/>
      </w:r>
      <w:r>
        <w:rPr>
          <w:rFonts w:hint="eastAsia" w:ascii="宋体" w:hAnsi="宋体"/>
          <w:b/>
          <w:color w:val="000000" w:themeColor="text1"/>
          <w:sz w:val="32"/>
          <w:szCs w:val="32"/>
          <w:highlight w:val="none"/>
          <w:lang w:val="en-US" w:eastAsia="zh-CN"/>
        </w:rPr>
        <w:t xml:space="preserve">  </w:t>
      </w:r>
      <w:r>
        <w:rPr>
          <w:rFonts w:hint="eastAsia" w:ascii="宋体" w:hAnsi="宋体" w:cs="宋体"/>
          <w:b/>
          <w:bCs/>
          <w:color w:val="000000" w:themeColor="text1"/>
          <w:sz w:val="24"/>
          <w:highlight w:val="none"/>
          <w:u w:val="single"/>
        </w:rPr>
        <w:t xml:space="preserve">一、法人或者其他组织的营业执照等证明文件，自然人的身份证明</w:t>
      </w: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ind w:firstLine="482"/>
        <w:spacing w:line="360" w:lineRule="auto"/>
        <w:rPr>
          <w:rFonts w:ascii="宋体" w:hAnsi="宋体" w:cs="宋体"/>
          <w:b/>
          <w:bCs/>
          <w:color w:val="000000" w:themeColor="text1"/>
          <w:sz w:val="24"/>
          <w:highlight w:val="none"/>
          <w:u w:val="single"/>
        </w:rPr>
      </w:pPr>
      <w:r>
        <w:rPr>
          <w:rFonts w:hint="eastAsia" w:ascii="宋体" w:hAnsi="宋体" w:cs="宋体"/>
          <w:b/>
          <w:bCs/>
          <w:color w:val="000000" w:themeColor="text1"/>
          <w:sz w:val="24"/>
          <w:highlight w:val="none"/>
          <w:u w:val="single"/>
        </w:rPr>
        <w:t xml:space="preserve">二、上一年度的财务状况报表</w:t>
      </w:r>
      <w:r/>
    </w:p>
    <w:p>
      <w:pPr>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至少提供资产负债表、利润表、现金流量表，供应商成立不满一年不需提供</w:t>
      </w:r>
      <w:r/>
    </w:p>
    <w:p>
      <w:pPr>
        <w:spacing w:line="360" w:lineRule="auto"/>
        <w:rPr>
          <w:rFonts w:ascii="宋体" w:hAnsi="宋体" w:cs="宋体"/>
          <w:color w:val="000000" w:themeColor="text1"/>
          <w:sz w:val="24"/>
          <w:highlight w:val="none"/>
          <w:u w:val="single"/>
        </w:rPr>
      </w:pPr>
      <w:r>
        <w:rPr>
          <w:rFonts w:ascii="宋体" w:hAnsi="宋体" w:cs="宋体"/>
          <w:color w:val="000000" w:themeColor="text1"/>
          <w:sz w:val="24"/>
          <w:highlight w:val="none"/>
          <w:u w:val="single"/>
        </w:rPr>
      </w:r>
      <w:r/>
    </w:p>
    <w:p>
      <w:pPr>
        <w:ind w:firstLine="482"/>
        <w:spacing w:line="360" w:lineRule="auto"/>
        <w:rPr>
          <w:rFonts w:ascii="宋体" w:hAnsi="宋体" w:cs="宋体"/>
          <w:b/>
          <w:bCs/>
          <w:color w:val="000000" w:themeColor="text1"/>
          <w:sz w:val="24"/>
          <w:highlight w:val="none"/>
          <w:u w:val="single"/>
        </w:rPr>
      </w:pPr>
      <w:r>
        <w:rPr>
          <w:rFonts w:hint="eastAsia" w:ascii="宋体" w:hAnsi="宋体" w:cs="宋体"/>
          <w:b/>
          <w:bCs/>
          <w:color w:val="000000" w:themeColor="text1"/>
          <w:sz w:val="24"/>
          <w:highlight w:val="none"/>
          <w:u w:val="single"/>
        </w:rPr>
        <w:t xml:space="preserve">三、依法缴纳税收和社会保障资金的相关材料</w:t>
      </w:r>
      <w:r/>
    </w:p>
    <w:p>
      <w:pPr>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提供提交投标文件截止时间前一年内至少一个月依法缴纳税收及缴纳社会保障资金的证明材料。供应商依法享受缓缴、免缴税收、社会保障资金的提供证明材料。</w:t>
      </w:r>
      <w:r/>
    </w:p>
    <w:p>
      <w:pPr>
        <w:spacing w:line="360" w:lineRule="auto"/>
        <w:rPr>
          <w:rFonts w:ascii="宋体" w:hAnsi="宋体" w:cs="宋体"/>
          <w:color w:val="000000" w:themeColor="text1"/>
          <w:sz w:val="24"/>
          <w:highlight w:val="none"/>
          <w:u w:val="single"/>
        </w:rPr>
      </w:pPr>
      <w:r>
        <w:rPr>
          <w:rFonts w:ascii="宋体" w:hAnsi="宋体" w:cs="宋体"/>
          <w:color w:val="000000" w:themeColor="text1"/>
          <w:sz w:val="24"/>
          <w:highlight w:val="none"/>
          <w:u w:val="single"/>
        </w:rPr>
      </w:r>
      <w:r/>
    </w:p>
    <w:p>
      <w:pPr>
        <w:ind w:firstLine="482"/>
        <w:spacing w:line="360" w:lineRule="auto"/>
        <w:rPr>
          <w:rFonts w:ascii="宋体" w:hAnsi="宋体" w:cs="宋体"/>
          <w:b/>
          <w:bCs/>
          <w:color w:val="000000" w:themeColor="text1"/>
          <w:sz w:val="24"/>
          <w:highlight w:val="none"/>
          <w:u w:val="single"/>
        </w:rPr>
      </w:pPr>
      <w:r>
        <w:rPr>
          <w:rFonts w:hint="eastAsia" w:ascii="宋体" w:hAnsi="宋体" w:cs="宋体"/>
          <w:b/>
          <w:bCs/>
          <w:color w:val="000000" w:themeColor="text1"/>
          <w:sz w:val="24"/>
          <w:highlight w:val="none"/>
          <w:u w:val="single"/>
        </w:rPr>
        <w:t xml:space="preserve">四、具备履行合同所必需的设备和专业技术能力的书面声明</w:t>
      </w:r>
      <w:r/>
    </w:p>
    <w:p>
      <w:pPr>
        <w:ind w:firstLine="492"/>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主要设备有：。</w:t>
      </w:r>
      <w:r/>
    </w:p>
    <w:p>
      <w:pPr>
        <w:ind w:firstLine="492"/>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主要专业技术能力有：。</w:t>
      </w:r>
      <w:r/>
    </w:p>
    <w:p>
      <w:pPr>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p>
    <w:p>
      <w:pPr>
        <w:ind w:firstLine="482"/>
        <w:spacing w:line="360" w:lineRule="auto"/>
        <w:rPr>
          <w:rFonts w:ascii="宋体" w:hAnsi="宋体" w:cs="宋体"/>
          <w:b/>
          <w:bCs/>
          <w:color w:val="000000" w:themeColor="text1"/>
          <w:sz w:val="24"/>
          <w:highlight w:val="none"/>
          <w:u w:val="single"/>
        </w:rPr>
      </w:pPr>
      <w:r>
        <w:rPr>
          <w:rFonts w:hint="eastAsia" w:ascii="宋体" w:hAnsi="宋体" w:cs="宋体"/>
          <w:b/>
          <w:bCs/>
          <w:color w:val="000000" w:themeColor="text1"/>
          <w:sz w:val="24"/>
          <w:highlight w:val="none"/>
          <w:u w:val="single"/>
        </w:rPr>
        <w:t xml:space="preserve">五、参加政府采购活动前 3 年内在经营活动中没有重大违法记录的书面声明</w:t>
      </w:r>
      <w:r/>
    </w:p>
    <w:p>
      <w:pPr>
        <w:jc w:val="cente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声  明</w:t>
      </w:r>
      <w:r/>
    </w:p>
    <w:p>
      <w:pPr>
        <w:ind w:firstLine="481"/>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818"/>
        <w:ind w:firstLine="481"/>
        <w:rPr>
          <w:color w:val="000000" w:themeColor="text1"/>
          <w:highlight w:val="none"/>
        </w:rPr>
      </w:pPr>
      <w:r>
        <w:rPr>
          <w:color w:val="000000" w:themeColor="text1"/>
          <w:highlight w:val="none"/>
        </w:rPr>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六、特定资格要求的证明文件</w:t>
      </w:r>
      <w:r/>
    </w:p>
    <w:p>
      <w:pPr>
        <w:spacing w:line="360" w:lineRule="auto"/>
        <w:rPr>
          <w:rFonts w:ascii="宋体" w:hAnsi="宋体" w:cs="宋体"/>
          <w:bCs/>
          <w:color w:val="000000" w:themeColor="text1"/>
          <w:sz w:val="24"/>
          <w:highlight w:val="none"/>
        </w:rPr>
      </w:pPr>
      <w:r>
        <w:rPr>
          <w:rFonts w:hint="eastAsia" w:ascii="宋体" w:hAnsi="宋体" w:cs="宋体"/>
          <w:color w:val="000000" w:themeColor="text1"/>
          <w:sz w:val="24"/>
          <w:highlight w:val="none"/>
        </w:rPr>
        <w:t xml:space="preserve">    如果本项目申请人的特定资格要求中要求提供的，必须提供。</w:t>
      </w:r>
      <w:r/>
    </w:p>
    <w:p>
      <w:pPr>
        <w:spacing w:line="360" w:lineRule="auto"/>
        <w:rPr>
          <w:rFonts w:ascii="宋体" w:hAnsi="宋体" w:cs="宋体"/>
          <w:bCs/>
          <w:color w:val="000000" w:themeColor="text1"/>
          <w:sz w:val="24"/>
          <w:highlight w:val="none"/>
        </w:rPr>
      </w:pPr>
      <w:r>
        <w:rPr>
          <w:rFonts w:ascii="宋体" w:hAnsi="宋体" w:cs="宋体"/>
          <w:bCs/>
          <w:color w:val="000000" w:themeColor="text1"/>
          <w:sz w:val="24"/>
          <w:highlight w:val="none"/>
        </w:rPr>
      </w:r>
      <w:r/>
    </w:p>
    <w:p>
      <w:pPr>
        <w:jc w:val="center"/>
        <w:spacing w:line="360" w:lineRule="auto"/>
        <w:rPr>
          <w:rFonts w:ascii="宋体" w:hAnsi="宋体" w:cs="宋体"/>
          <w:color w:val="000000" w:themeColor="text1"/>
          <w:sz w:val="24"/>
          <w:highlight w:val="none"/>
          <w:u w:val="single"/>
        </w:rPr>
      </w:pPr>
      <w:r>
        <w:rPr>
          <w:rFonts w:ascii="宋体" w:hAnsi="宋体" w:cs="宋体"/>
          <w:color w:val="000000" w:themeColor="text1"/>
          <w:sz w:val="24"/>
          <w:highlight w:val="none"/>
          <w:u w:val="single"/>
        </w:rPr>
      </w:r>
      <w:r/>
    </w:p>
    <w:p>
      <w:pPr>
        <w:jc w:val="center"/>
        <w:spacing w:line="360" w:lineRule="auto"/>
        <w:rPr>
          <w:rFonts w:ascii="宋体" w:hAnsi="宋体" w:cs="宋体"/>
          <w:color w:val="000000" w:themeColor="text1"/>
          <w:sz w:val="24"/>
          <w:highlight w:val="none"/>
          <w:u w:val="single"/>
        </w:rPr>
      </w:pPr>
      <w:r>
        <w:rPr>
          <w:rFonts w:ascii="宋体" w:hAnsi="宋体" w:cs="宋体"/>
          <w:color w:val="000000" w:themeColor="text1"/>
          <w:sz w:val="24"/>
          <w:highlight w:val="none"/>
          <w:u w:val="single"/>
        </w:rPr>
      </w:r>
      <w:r/>
    </w:p>
    <w:p>
      <w:pPr>
        <w:jc w:val="center"/>
        <w:spacing w:line="360" w:lineRule="auto"/>
        <w:rPr>
          <w:rFonts w:ascii="宋体" w:hAnsi="宋体" w:cs="宋体"/>
          <w:color w:val="000000" w:themeColor="text1"/>
          <w:sz w:val="24"/>
          <w:highlight w:val="none"/>
          <w:u w:val="single"/>
        </w:rPr>
      </w:pPr>
      <w:r>
        <w:rPr>
          <w:rFonts w:ascii="宋体" w:hAnsi="宋体" w:cs="宋体"/>
          <w:color w:val="000000" w:themeColor="text1"/>
          <w:sz w:val="24"/>
          <w:highlight w:val="none"/>
          <w:u w:val="single"/>
        </w:rPr>
      </w:r>
      <w:r/>
    </w:p>
    <w:p>
      <w:pPr>
        <w:jc w:val="center"/>
        <w:spacing w:line="360" w:lineRule="auto"/>
        <w:rPr>
          <w:rFonts w:ascii="宋体" w:hAnsi="宋体" w:cs="宋体"/>
          <w:color w:val="000000" w:themeColor="text1"/>
          <w:sz w:val="24"/>
          <w:highlight w:val="none"/>
          <w:u w:val="single"/>
        </w:rPr>
      </w:pPr>
      <w:r>
        <w:rPr>
          <w:rFonts w:ascii="宋体" w:hAnsi="宋体" w:cs="宋体"/>
          <w:color w:val="000000" w:themeColor="text1"/>
          <w:sz w:val="24"/>
          <w:highlight w:val="none"/>
          <w:u w:val="single"/>
        </w:rPr>
      </w:r>
      <w:r/>
    </w:p>
    <w:p>
      <w:pPr>
        <w:jc w:val="center"/>
        <w:spacing w:line="360" w:lineRule="auto"/>
        <w:rPr>
          <w:rFonts w:ascii="宋体" w:hAnsi="宋体" w:cs="宋体"/>
          <w:color w:val="000000" w:themeColor="text1"/>
          <w:sz w:val="24"/>
          <w:highlight w:val="none"/>
          <w:u w:val="single"/>
        </w:rPr>
      </w:pPr>
      <w:r>
        <w:rPr>
          <w:rFonts w:ascii="宋体" w:hAnsi="宋体" w:cs="宋体"/>
          <w:color w:val="000000" w:themeColor="text1"/>
          <w:sz w:val="24"/>
          <w:highlight w:val="none"/>
          <w:u w:val="single"/>
        </w:rPr>
      </w:r>
      <w:r/>
    </w:p>
    <w:p>
      <w:pPr>
        <w:pStyle w:val="807"/>
        <w:rPr>
          <w:rFonts w:ascii="宋体" w:hAnsi="宋体" w:cs="宋体"/>
          <w:color w:val="000000" w:themeColor="text1"/>
          <w:sz w:val="24"/>
          <w:szCs w:val="24"/>
          <w:highlight w:val="none"/>
          <w:u w:val="single"/>
        </w:rPr>
      </w:pPr>
      <w:r>
        <w:rPr>
          <w:rFonts w:ascii="宋体" w:hAnsi="宋体" w:cs="宋体"/>
          <w:color w:val="000000" w:themeColor="text1"/>
          <w:sz w:val="24"/>
          <w:highlight w:val="none"/>
          <w:u w:val="single"/>
        </w:rPr>
      </w:r>
      <w:r>
        <w:rPr>
          <w:rFonts w:ascii="宋体" w:hAnsi="宋体" w:cs="宋体"/>
          <w:color w:val="000000" w:themeColor="text1"/>
          <w:sz w:val="24"/>
          <w:highlight w:val="none"/>
          <w:u w:val="single"/>
        </w:rPr>
      </w:r>
      <w:r/>
    </w:p>
    <w:p>
      <w:pPr>
        <w:pStyle w:val="807"/>
        <w:rPr>
          <w:rFonts w:ascii="宋体" w:hAnsi="宋体" w:cs="宋体"/>
          <w:color w:val="000000" w:themeColor="text1"/>
          <w:sz w:val="24"/>
          <w:szCs w:val="24"/>
          <w:highlight w:val="none"/>
          <w:u w:val="single"/>
        </w:rPr>
      </w:pPr>
      <w:r>
        <w:rPr>
          <w:rFonts w:ascii="宋体" w:hAnsi="宋体" w:cs="宋体"/>
          <w:color w:val="000000" w:themeColor="text1"/>
          <w:sz w:val="24"/>
          <w:highlight w:val="none"/>
          <w:u w:val="single"/>
        </w:rPr>
      </w:r>
      <w:r/>
    </w:p>
    <w:p>
      <w:pPr>
        <w:pStyle w:val="807"/>
        <w:rPr>
          <w:rFonts w:ascii="宋体" w:hAnsi="宋体" w:cs="宋体"/>
          <w:color w:val="000000" w:themeColor="text1"/>
          <w:sz w:val="24"/>
          <w:highlight w:val="none"/>
          <w:u w:val="single"/>
        </w:rPr>
      </w:pPr>
      <w:r>
        <w:rPr>
          <w:rFonts w:ascii="宋体" w:hAnsi="宋体" w:cs="宋体"/>
          <w:color w:val="000000" w:themeColor="text1"/>
          <w:sz w:val="24"/>
          <w:highlight w:val="none"/>
          <w:u w:val="single"/>
        </w:rPr>
      </w:r>
      <w:r/>
    </w:p>
    <w:p>
      <w:pPr>
        <w:spacing w:line="360" w:lineRule="auto"/>
        <w:rPr>
          <w:rFonts w:ascii="宋体" w:hAnsi="宋体" w:cs="宋体"/>
          <w:color w:val="000000" w:themeColor="text1"/>
          <w:sz w:val="24"/>
          <w:highlight w:val="none"/>
          <w:u w:val="single"/>
        </w:rPr>
      </w:pPr>
      <w:r>
        <w:rPr>
          <w:rFonts w:ascii="宋体" w:hAnsi="宋体" w:cs="宋体"/>
          <w:color w:val="000000" w:themeColor="text1"/>
          <w:sz w:val="24"/>
          <w:highlight w:val="none"/>
          <w:u w:val="single"/>
        </w:rPr>
      </w:r>
      <w:r/>
    </w:p>
    <w:p>
      <w:pPr>
        <w:jc w:val="cente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七、法人授权书</w:t>
      </w:r>
      <w:r/>
    </w:p>
    <w:p>
      <w:pPr>
        <w:ind w:firstLine="482"/>
        <w:spacing w:line="600" w:lineRule="exact"/>
        <w:tabs>
          <w:tab w:val="left" w:pos="3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本授权书声明：____________（供应商名称）授权________________（被授权人的姓名）为我方就</w:t>
      </w:r>
      <w:r>
        <w:rPr>
          <w:rFonts w:hint="eastAsia" w:ascii="宋体" w:hAnsi="宋体" w:cs="宋体"/>
          <w:color w:val="000000" w:themeColor="text1"/>
          <w:sz w:val="24"/>
          <w:highlight w:val="none"/>
          <w:u w:val="single"/>
        </w:rPr>
        <w:t xml:space="preserve">盐城市公安局交管支队亭湖大队文峰中队营房装修改造</w:t>
      </w:r>
      <w:r>
        <w:rPr>
          <w:rFonts w:hint="eastAsia" w:ascii="宋体" w:hAnsi="宋体" w:cs="宋体"/>
          <w:color w:val="000000" w:themeColor="text1"/>
          <w:sz w:val="24"/>
          <w:highlight w:val="none"/>
        </w:rPr>
        <w:t xml:space="preserve">采购活动的合法代理人，以本公司名义全权处理一切与该项目采购有关的事务。</w:t>
      </w:r>
      <w:r/>
    </w:p>
    <w:p>
      <w:pPr>
        <w:ind w:firstLine="480"/>
        <w:spacing w:line="600" w:lineRule="exact"/>
        <w:tabs>
          <w:tab w:val="left" w:pos="3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本授权书于______年____月____日起生效，特此声明。</w:t>
      </w:r>
      <w:r/>
    </w:p>
    <w:p>
      <w:pPr>
        <w:pStyle w:val="1100"/>
        <w:spacing w:line="600" w:lineRule="exact"/>
        <w:rPr>
          <w:rFonts w:ascii="宋体" w:hAnsi="宋体" w:cs="宋体"/>
          <w:color w:val="000000" w:themeColor="text1"/>
          <w:highlight w:val="none"/>
          <w:u w:val="single"/>
        </w:rPr>
      </w:pPr>
      <w:r>
        <w:rPr>
          <w:rFonts w:hint="eastAsia" w:ascii="宋体" w:hAnsi="宋体" w:cs="宋体"/>
          <w:color w:val="000000" w:themeColor="text1"/>
          <w:highlight w:val="none"/>
        </w:rPr>
        <w:t xml:space="preserve">         被授权人身份证号码：</w:t>
      </w:r>
      <w:r/>
    </w:p>
    <w:p>
      <w:pPr>
        <w:pStyle w:val="1100"/>
        <w:spacing w:line="600" w:lineRule="exact"/>
        <w:rPr>
          <w:rFonts w:ascii="宋体" w:hAnsi="宋体" w:cs="宋体"/>
          <w:color w:val="000000" w:themeColor="text1"/>
          <w:highlight w:val="none"/>
          <w:u w:val="single"/>
        </w:rPr>
      </w:pPr>
      <w:r>
        <w:rPr>
          <w:rFonts w:hint="eastAsia" w:ascii="宋体" w:hAnsi="宋体" w:cs="宋体"/>
          <w:color w:val="000000" w:themeColor="text1"/>
          <w:highlight w:val="none"/>
        </w:rPr>
        <w:t xml:space="preserve">          被授权人联系电话：（手机）</w:t>
      </w:r>
      <w:r/>
    </w:p>
    <w:p>
      <w:pPr>
        <w:pStyle w:val="1100"/>
        <w:ind w:firstLine="1200"/>
        <w:spacing w:line="600" w:lineRule="exact"/>
        <w:rPr>
          <w:rFonts w:ascii="宋体" w:hAnsi="宋体" w:cs="宋体"/>
          <w:color w:val="000000" w:themeColor="text1"/>
          <w:highlight w:val="none"/>
        </w:rPr>
      </w:pPr>
      <w:r>
        <w:rPr>
          <w:rFonts w:hint="eastAsia" w:ascii="宋体" w:hAnsi="宋体" w:cs="宋体"/>
          <w:color w:val="000000" w:themeColor="text1"/>
          <w:highlight w:val="none"/>
        </w:rPr>
        <w:t xml:space="preserve">授权单位名称：</w:t>
      </w:r>
      <w:r>
        <w:rPr>
          <w:rFonts w:hint="eastAsia" w:ascii="宋体" w:hAnsi="宋体" w:cs="宋体"/>
          <w:color w:val="000000" w:themeColor="text1"/>
          <w:highlight w:val="none"/>
          <w:u w:val="single"/>
        </w:rPr>
        <w:t xml:space="preserve">（加盖CA电子公章）</w:t>
      </w:r>
      <w:r/>
    </w:p>
    <w:p>
      <w:pPr>
        <w:pStyle w:val="1100"/>
        <w:ind w:firstLine="480"/>
        <w:spacing w:line="600" w:lineRule="exact"/>
        <w:rPr>
          <w:rFonts w:ascii="宋体" w:hAnsi="宋体" w:cs="宋体"/>
          <w:color w:val="000000" w:themeColor="text1"/>
          <w:highlight w:val="none"/>
          <w:u w:val="single"/>
        </w:rPr>
      </w:pPr>
      <w:r>
        <w:rPr>
          <w:rFonts w:hint="eastAsia" w:ascii="宋体" w:hAnsi="宋体" w:cs="宋体"/>
          <w:color w:val="000000" w:themeColor="text1"/>
          <w:highlight w:val="none"/>
        </w:rPr>
        <w:t xml:space="preserve">      单位地址：</w:t>
      </w:r>
      <w:r/>
    </w:p>
    <w:p>
      <w:pPr>
        <w:pStyle w:val="1100"/>
        <w:ind w:firstLine="480"/>
        <w:spacing w:line="600" w:lineRule="exact"/>
        <w:rPr>
          <w:rFonts w:ascii="宋体" w:hAnsi="宋体" w:cs="宋体"/>
          <w:color w:val="000000" w:themeColor="text1"/>
          <w:highlight w:val="none"/>
        </w:rPr>
      </w:pPr>
      <w:r>
        <w:rPr>
          <w:rFonts w:hint="eastAsia" w:ascii="宋体" w:hAnsi="宋体" w:cs="宋体"/>
          <w:color w:val="000000" w:themeColor="text1"/>
          <w:highlight w:val="none"/>
        </w:rPr>
        <w:t xml:space="preserve">      日期：</w:t>
      </w:r>
      <w:r/>
    </w:p>
    <w:p>
      <w:pPr>
        <w:spacing w:line="600" w:lineRule="exact"/>
        <w:tabs>
          <w:tab w:val="left" w:pos="360" w:leader="none"/>
        </w:tabs>
        <w:rPr>
          <w:rFonts w:ascii="宋体" w:hAnsi="宋体" w:cs="宋体"/>
          <w:color w:val="000000" w:themeColor="text1"/>
          <w:sz w:val="24"/>
          <w:highlight w:val="none"/>
        </w:rPr>
      </w:pPr>
      <w:r>
        <w:rPr>
          <w:rFonts w:ascii="宋体" w:hAnsi="宋体" w:cs="宋体"/>
          <w:color w:val="000000" w:themeColor="text1"/>
          <w:sz w:val="24"/>
          <w:highlight w:val="none"/>
        </w:rPr>
      </w:r>
      <w:r/>
    </w:p>
    <w:p>
      <w:pPr>
        <w:ind w:firstLine="4216"/>
        <w:tabs>
          <w:tab w:val="left" w:pos="360" w:leader="none"/>
        </w:tabs>
        <w:rPr>
          <w:rFonts w:ascii="宋体" w:hAnsi="宋体" w:cs="宋体"/>
          <w:b/>
          <w:bCs/>
          <w:color w:val="000000" w:themeColor="text1"/>
          <w:szCs w:val="21"/>
          <w:highlight w:val="none"/>
        </w:rPr>
      </w:pPr>
      <w:r/>
      <w:bookmarkStart w:id="231" w:name="_格式3__银行出具的资信证明"/>
      <w:r/>
      <w:bookmarkEnd w:id="231"/>
      <w:r/>
      <w:bookmarkStart w:id="232" w:name="_Hlt26955070"/>
      <w:r/>
      <w:bookmarkEnd w:id="232"/>
      <w:r/>
      <w:bookmarkStart w:id="233" w:name="_Hlt26671380"/>
      <w:r/>
      <w:bookmarkEnd w:id="233"/>
      <w:r/>
      <w:r/>
    </w:p>
    <w:p>
      <w:pPr>
        <w:ind w:firstLine="4216"/>
        <w:tabs>
          <w:tab w:val="left" w:pos="360" w:leader="none"/>
        </w:tabs>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ind w:firstLine="4216"/>
        <w:tabs>
          <w:tab w:val="left" w:pos="360" w:leader="none"/>
        </w:tabs>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ind w:firstLine="4216"/>
        <w:tabs>
          <w:tab w:val="left" w:pos="360" w:leader="none"/>
        </w:tabs>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ind w:firstLine="4216"/>
        <w:tabs>
          <w:tab w:val="left" w:pos="360" w:leader="none"/>
        </w:tabs>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ind w:firstLine="4216"/>
        <w:tabs>
          <w:tab w:val="left" w:pos="360" w:leader="none"/>
        </w:tabs>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ind w:firstLine="4216"/>
        <w:tabs>
          <w:tab w:val="left" w:pos="360" w:leader="none"/>
        </w:tabs>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ind w:firstLine="2879"/>
        <w:rPr>
          <w:rFonts w:ascii="宋体" w:hAnsi="宋体"/>
          <w:color w:val="000000" w:themeColor="text1"/>
          <w:highlight w:val="none"/>
        </w:rPr>
      </w:pPr>
      <w:r>
        <w:rPr>
          <w:rFonts w:ascii="宋体" w:hAnsi="宋体"/>
          <w:color w:val="000000" w:themeColor="text1"/>
          <w:highlight w:val="none"/>
        </w:rPr>
      </w:r>
      <w:r/>
    </w:p>
    <w:p>
      <w:pPr>
        <w:jc w:val="center"/>
        <w:spacing w:line="560" w:lineRule="exact"/>
        <w:rPr>
          <w:rFonts w:ascii="宋体" w:hAnsi="宋体" w:cs="宋体"/>
          <w:b/>
          <w:bCs/>
          <w:color w:val="000000" w:themeColor="text1"/>
          <w:sz w:val="32"/>
          <w:szCs w:val="32"/>
          <w:highlight w:val="none"/>
        </w:rPr>
      </w:pPr>
      <w:r>
        <w:rPr>
          <w:rFonts w:ascii="宋体" w:hAnsi="宋体" w:cs="宋体"/>
          <w:b/>
          <w:bCs/>
          <w:color w:val="000000" w:themeColor="text1"/>
          <w:sz w:val="32"/>
          <w:szCs w:val="32"/>
          <w:highlight w:val="none"/>
        </w:rPr>
      </w:r>
      <w:r/>
    </w:p>
    <w:p>
      <w:pPr>
        <w:jc w:val="center"/>
        <w:spacing w:line="560" w:lineRule="exact"/>
        <w:rPr>
          <w:rFonts w:ascii="宋体" w:hAnsi="宋体" w:cs="宋体"/>
          <w:b/>
          <w:bCs/>
          <w:color w:val="000000" w:themeColor="text1"/>
          <w:sz w:val="32"/>
          <w:szCs w:val="32"/>
          <w:highlight w:val="none"/>
        </w:rPr>
      </w:pPr>
      <w:r>
        <w:rPr>
          <w:rFonts w:ascii="宋体" w:hAnsi="宋体" w:cs="宋体"/>
          <w:b/>
          <w:bCs/>
          <w:color w:val="000000" w:themeColor="text1"/>
          <w:sz w:val="32"/>
          <w:szCs w:val="32"/>
          <w:highlight w:val="none"/>
        </w:rPr>
      </w:r>
      <w:r/>
    </w:p>
    <w:p>
      <w:pPr>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br w:type="page" w:clear="all"/>
      </w:r>
      <w:r/>
    </w:p>
    <w:p>
      <w:pP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八、磋商响应函</w:t>
      </w:r>
      <w:r/>
    </w:p>
    <w:p>
      <w:pPr>
        <w:ind w:firstLine="480"/>
        <w:jc w:val="left"/>
        <w:spacing w:line="360" w:lineRule="auto"/>
        <w:tabs>
          <w:tab w:val="left" w:pos="3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致：</w:t>
      </w:r>
      <w:r>
        <w:rPr>
          <w:rFonts w:hint="eastAsia" w:ascii="宋体" w:hAnsi="宋体" w:cs="宋体"/>
          <w:color w:val="000000" w:themeColor="text1"/>
          <w:sz w:val="24"/>
          <w:highlight w:val="none"/>
          <w:u w:val="single"/>
        </w:rPr>
        <w:t xml:space="preserve"> （采购人）   </w:t>
      </w:r>
      <w:r/>
    </w:p>
    <w:p>
      <w:pPr>
        <w:ind w:firstLine="480"/>
        <w:jc w:val="left"/>
        <w:spacing w:line="360" w:lineRule="auto"/>
        <w:tabs>
          <w:tab w:val="left" w:pos="3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根据贵方的</w:t>
      </w:r>
      <w:r>
        <w:rPr>
          <w:rFonts w:hint="eastAsia" w:ascii="宋体" w:hAnsi="宋体" w:cs="宋体"/>
          <w:color w:val="000000" w:themeColor="text1"/>
          <w:sz w:val="24"/>
          <w:highlight w:val="none"/>
          <w:u w:val="single"/>
          <w:lang w:eastAsia="zh-CN"/>
        </w:rPr>
        <w:t xml:space="preserve">JSZC-320900-YCZH-C2025-0012</w:t>
      </w:r>
      <w:r>
        <w:rPr>
          <w:rFonts w:hint="eastAsia" w:ascii="宋体" w:hAnsi="宋体" w:cs="宋体"/>
          <w:color w:val="000000" w:themeColor="text1"/>
          <w:sz w:val="24"/>
          <w:highlight w:val="none"/>
          <w:u w:val="single"/>
        </w:rPr>
        <w:t xml:space="preserve">号</w:t>
      </w:r>
      <w:r>
        <w:rPr>
          <w:rFonts w:hint="eastAsia" w:ascii="宋体" w:hAnsi="宋体" w:cs="宋体"/>
          <w:color w:val="000000" w:themeColor="text1"/>
          <w:sz w:val="24"/>
          <w:highlight w:val="none"/>
        </w:rPr>
        <w:t xml:space="preserve">磋商文件，正式授权下述被授权人_________ (姓名和职务)代表我方______________（供应商的名称），全权处理本次项目磋商采购的有关事宜。</w:t>
      </w:r>
      <w:r/>
    </w:p>
    <w:p>
      <w:pPr>
        <w:ind w:firstLine="480"/>
        <w:jc w:val="left"/>
        <w:spacing w:line="360" w:lineRule="auto"/>
        <w:tabs>
          <w:tab w:val="left" w:pos="3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据此函，__________（被授权人）兹宣布同意如下：</w:t>
      </w:r>
      <w:r/>
    </w:p>
    <w:p>
      <w:pPr>
        <w:ind w:firstLine="480"/>
        <w:jc w:val="left"/>
        <w:spacing w:line="360" w:lineRule="auto"/>
        <w:tabs>
          <w:tab w:val="left" w:pos="3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1.按磋商文件规定的各项要求，向买方提供所需服务。</w:t>
      </w:r>
      <w:r/>
    </w:p>
    <w:p>
      <w:pPr>
        <w:pStyle w:val="803"/>
        <w:ind w:firstLine="480"/>
        <w:spacing w:before="0" w:beforeAutospacing="0" w:after="0" w:afterAutospacing="0" w:line="360" w:lineRule="auto"/>
        <w:rPr>
          <w:color w:val="000000" w:themeColor="text1"/>
          <w:highlight w:val="none"/>
        </w:rPr>
      </w:pPr>
      <w:r>
        <w:rPr>
          <w:rFonts w:hint="eastAsia"/>
          <w:color w:val="000000" w:themeColor="text1"/>
          <w:highlight w:val="none"/>
        </w:rPr>
        <w:t xml:space="preserve">2.我们完全理解贵方不一定将合同授予最低报价的供应商。</w:t>
      </w:r>
      <w:r/>
    </w:p>
    <w:p>
      <w:pPr>
        <w:ind w:firstLine="480"/>
        <w:jc w:val="left"/>
        <w:spacing w:line="360" w:lineRule="auto"/>
        <w:tabs>
          <w:tab w:val="left" w:pos="3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3.我们已详细审核全部磋商文件及其有效补充文件，我们知道必须放弃提出含糊不清或误解问题的权利。</w:t>
      </w:r>
      <w:r/>
    </w:p>
    <w:p>
      <w:pPr>
        <w:ind w:firstLine="480"/>
        <w:jc w:val="left"/>
        <w:spacing w:line="360" w:lineRule="auto"/>
        <w:tabs>
          <w:tab w:val="left" w:pos="3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4.我们同意从规定的响应文件接收截止时间起遵循本响应文件，并在规定的磋商有效期期满之前均具有约束力。</w:t>
      </w:r>
      <w:r/>
    </w:p>
    <w:p>
      <w:pPr>
        <w:ind w:firstLine="480"/>
        <w:jc w:val="left"/>
        <w:spacing w:line="360" w:lineRule="auto"/>
        <w:tabs>
          <w:tab w:val="left" w:pos="3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5.同意向贵方提供贵方可能另外要求的与磋商采购有关的任何证据或资料，并保证我方已提供和将要提供的文件是真实的、准确的。</w:t>
      </w:r>
      <w:r/>
    </w:p>
    <w:p>
      <w:pPr>
        <w:ind w:firstLine="480"/>
        <w:jc w:val="left"/>
        <w:spacing w:line="360" w:lineRule="auto"/>
        <w:tabs>
          <w:tab w:val="left" w:pos="3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6.一旦我方成交，我方将根据磋商文件的规定，严格履行合同的责任和义务，并保证在磋商文件规定的时间完成项目，交付买方验收、使用。</w:t>
      </w:r>
      <w:r/>
    </w:p>
    <w:p>
      <w:pPr>
        <w:ind w:firstLine="480"/>
        <w:jc w:val="left"/>
        <w:spacing w:line="360" w:lineRule="auto"/>
        <w:tabs>
          <w:tab w:val="left" w:pos="3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7.我方与本磋商有关的正式通讯地址为：</w:t>
      </w:r>
      <w:r/>
    </w:p>
    <w:p>
      <w:pPr>
        <w:ind w:firstLine="480"/>
        <w:jc w:val="left"/>
        <w:spacing w:line="360" w:lineRule="auto"/>
        <w:tabs>
          <w:tab w:val="left" w:pos="3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 址：</w:t>
      </w:r>
      <w:r/>
    </w:p>
    <w:p>
      <w:pPr>
        <w:ind w:firstLine="480"/>
        <w:jc w:val="left"/>
        <w:spacing w:line="360" w:lineRule="auto"/>
        <w:tabs>
          <w:tab w:val="left" w:pos="3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邮 编：</w:t>
      </w:r>
      <w:r/>
    </w:p>
    <w:p>
      <w:pPr>
        <w:ind w:firstLine="480"/>
        <w:jc w:val="left"/>
        <w:spacing w:line="360" w:lineRule="auto"/>
        <w:tabs>
          <w:tab w:val="left" w:pos="3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 话：</w:t>
      </w:r>
      <w:r/>
    </w:p>
    <w:p>
      <w:pPr>
        <w:ind w:firstLine="480"/>
        <w:jc w:val="left"/>
        <w:spacing w:line="360" w:lineRule="auto"/>
        <w:tabs>
          <w:tab w:val="left" w:pos="3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传 真：</w:t>
      </w:r>
      <w:r/>
    </w:p>
    <w:p>
      <w:pPr>
        <w:ind w:firstLine="480"/>
        <w:jc w:val="left"/>
        <w:spacing w:line="360" w:lineRule="auto"/>
        <w:tabs>
          <w:tab w:val="left" w:pos="3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供应商开户行：</w:t>
      </w:r>
      <w:r/>
    </w:p>
    <w:p>
      <w:pPr>
        <w:ind w:firstLine="480"/>
        <w:jc w:val="left"/>
        <w:spacing w:line="360" w:lineRule="auto"/>
        <w:tabs>
          <w:tab w:val="left" w:pos="3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账 户： </w:t>
      </w:r>
      <w:r/>
    </w:p>
    <w:p>
      <w:pPr>
        <w:ind w:firstLine="480"/>
        <w:jc w:val="left"/>
        <w:spacing w:line="360" w:lineRule="auto"/>
        <w:tabs>
          <w:tab w:val="left" w:pos="3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日 期：________年____月____日</w:t>
      </w:r>
      <w:r/>
    </w:p>
    <w:p>
      <w:pPr>
        <w:rPr>
          <w:rFonts w:ascii="宋体" w:hAnsi="宋体" w:cs="宋体"/>
          <w:color w:val="000000" w:themeColor="text1"/>
          <w:highlight w:val="none"/>
        </w:rPr>
      </w:pPr>
      <w:r>
        <w:rPr>
          <w:rFonts w:ascii="宋体" w:hAnsi="宋体" w:cs="宋体"/>
          <w:color w:val="000000" w:themeColor="text1"/>
          <w:highlight w:val="none"/>
        </w:rPr>
      </w:r>
      <w:r/>
    </w:p>
    <w:p>
      <w:pPr>
        <w:rPr>
          <w:rFonts w:ascii="宋体" w:hAnsi="宋体" w:cs="宋体"/>
          <w:color w:val="000000" w:themeColor="text1"/>
          <w:sz w:val="24"/>
          <w:highlight w:val="none"/>
        </w:rPr>
      </w:pPr>
      <w:r>
        <w:rPr>
          <w:rFonts w:hint="eastAsia" w:ascii="宋体" w:hAnsi="宋体" w:cs="宋体"/>
          <w:color w:val="000000" w:themeColor="text1"/>
          <w:highlight w:val="none"/>
        </w:rPr>
        <w:br w:type="page" w:clear="all"/>
      </w:r>
      <w:r/>
    </w:p>
    <w:p>
      <w:pPr>
        <w:jc w:val="cente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九、中小企业声明函（工程）</w:t>
      </w:r>
      <w:r/>
    </w:p>
    <w:p>
      <w:pPr>
        <w:spacing w:line="560" w:lineRule="exact"/>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p>
    <w:p>
      <w:pPr>
        <w:ind w:firstLine="480"/>
        <w:spacing w:line="6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本公司</w:t>
      </w:r>
      <w:r>
        <w:rPr>
          <w:rFonts w:hint="eastAsia" w:ascii="宋体" w:hAnsi="宋体" w:cs="宋体"/>
          <w:color w:val="000000" w:themeColor="text1"/>
          <w:sz w:val="24"/>
          <w:highlight w:val="none"/>
          <w:u w:val="single"/>
        </w:rPr>
        <w:t xml:space="preserve">         （联合体）</w:t>
      </w:r>
      <w:r>
        <w:rPr>
          <w:rFonts w:hint="eastAsia" w:ascii="宋体" w:hAnsi="宋体" w:cs="宋体"/>
          <w:color w:val="000000" w:themeColor="text1"/>
          <w:sz w:val="24"/>
          <w:highlight w:val="none"/>
        </w:rPr>
        <w:t xml:space="preserve">郑重声明，根据《政府采购促进中小企业发展管理办法》（财库﹝2020﹞46 号）的规定，本公司</w:t>
      </w:r>
      <w:r>
        <w:rPr>
          <w:rFonts w:hint="eastAsia" w:ascii="宋体" w:hAnsi="宋体" w:cs="宋体"/>
          <w:color w:val="000000" w:themeColor="text1"/>
          <w:sz w:val="24"/>
          <w:highlight w:val="none"/>
          <w:u w:val="single"/>
        </w:rPr>
        <w:t xml:space="preserve">   （联合体）</w:t>
      </w:r>
      <w:r>
        <w:rPr>
          <w:rFonts w:hint="eastAsia" w:ascii="宋体" w:hAnsi="宋体" w:cs="宋体"/>
          <w:color w:val="000000" w:themeColor="text1"/>
          <w:sz w:val="24"/>
          <w:highlight w:val="none"/>
        </w:rPr>
        <w:t xml:space="preserve">参加</w:t>
      </w:r>
      <w:r>
        <w:rPr>
          <w:rFonts w:hint="eastAsia" w:ascii="宋体" w:hAnsi="宋体" w:cs="宋体"/>
          <w:color w:val="000000" w:themeColor="text1"/>
          <w:sz w:val="24"/>
          <w:highlight w:val="none"/>
          <w:u w:val="single"/>
        </w:rPr>
        <w:t xml:space="preserve">盐城市公安局</w:t>
      </w:r>
      <w:r>
        <w:rPr>
          <w:rFonts w:hint="eastAsia" w:ascii="宋体" w:hAnsi="宋体" w:cs="宋体"/>
          <w:color w:val="000000" w:themeColor="text1"/>
          <w:sz w:val="24"/>
          <w:highlight w:val="none"/>
        </w:rPr>
        <w:t xml:space="preserve">的采购编号为</w:t>
      </w:r>
      <w:r>
        <w:rPr>
          <w:rFonts w:hint="eastAsia" w:ascii="宋体" w:hAnsi="宋体" w:cs="宋体"/>
          <w:color w:val="000000" w:themeColor="text1"/>
          <w:sz w:val="24"/>
          <w:highlight w:val="none"/>
          <w:u w:val="single"/>
          <w:lang w:eastAsia="zh-CN"/>
        </w:rPr>
        <w:t xml:space="preserve">JSZC-320900-YCZH-C2025-0012</w:t>
      </w:r>
      <w:r>
        <w:rPr>
          <w:rFonts w:hint="eastAsia" w:ascii="宋体" w:hAnsi="宋体" w:cs="宋体"/>
          <w:color w:val="000000" w:themeColor="text1"/>
          <w:sz w:val="24"/>
          <w:highlight w:val="none"/>
        </w:rPr>
        <w:t xml:space="preserve">的</w:t>
      </w:r>
      <w:r>
        <w:rPr>
          <w:rFonts w:hint="eastAsia" w:ascii="宋体" w:hAnsi="宋体" w:cs="宋体"/>
          <w:color w:val="000000" w:themeColor="text1"/>
          <w:sz w:val="24"/>
          <w:highlight w:val="none"/>
          <w:u w:val="single"/>
        </w:rPr>
        <w:t xml:space="preserve">盐城市公安局交管支队亭湖大队文峰中队营房装修改造</w:t>
      </w:r>
      <w:r>
        <w:rPr>
          <w:rFonts w:hint="eastAsia" w:ascii="宋体" w:hAnsi="宋体" w:cs="宋体"/>
          <w:color w:val="000000" w:themeColor="text1"/>
          <w:sz w:val="24"/>
          <w:highlight w:val="none"/>
        </w:rPr>
        <w:t xml:space="preserve">采购活动，工程的施工单位全部为符合政策要求的中小企业。相关企业（含联合体中的中小企业、签订分包意向协议的中小企业）的具体情况如下：</w:t>
      </w:r>
      <w:r/>
    </w:p>
    <w:p>
      <w:pPr>
        <w:ind w:firstLine="480"/>
        <w:spacing w:line="6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s="宋体"/>
          <w:i/>
          <w:iCs/>
          <w:color w:val="000000" w:themeColor="text1"/>
          <w:sz w:val="24"/>
          <w:highlight w:val="none"/>
          <w:u w:val="single"/>
        </w:rPr>
        <w:t xml:space="preserve">（标的名称） </w:t>
      </w:r>
      <w:r>
        <w:rPr>
          <w:rFonts w:hint="eastAsia" w:ascii="宋体" w:hAnsi="宋体" w:cs="宋体"/>
          <w:color w:val="000000" w:themeColor="text1"/>
          <w:sz w:val="24"/>
          <w:highlight w:val="none"/>
        </w:rPr>
        <w:t xml:space="preserve">，属于</w:t>
      </w:r>
      <w:r>
        <w:rPr>
          <w:rFonts w:hint="eastAsia" w:ascii="宋体" w:hAnsi="宋体" w:cs="宋体"/>
          <w:i/>
          <w:iCs/>
          <w:color w:val="000000" w:themeColor="text1"/>
          <w:sz w:val="24"/>
          <w:highlight w:val="none"/>
          <w:u w:val="single"/>
        </w:rPr>
        <w:t xml:space="preserve">（</w:t>
      </w:r>
      <w:r>
        <w:rPr>
          <w:rFonts w:hint="eastAsia" w:ascii="宋体" w:hAnsi="宋体" w:cs="宋体"/>
          <w:i/>
          <w:iCs/>
          <w:color w:val="000000" w:themeColor="text1"/>
          <w:sz w:val="24"/>
          <w:highlight w:val="none"/>
          <w:u w:val="single"/>
          <w:lang w:eastAsia="zh-CN"/>
        </w:rPr>
        <w:t xml:space="preserve">磋商文件</w:t>
      </w:r>
      <w:r>
        <w:rPr>
          <w:rFonts w:hint="eastAsia" w:ascii="宋体" w:hAnsi="宋体" w:cs="宋体"/>
          <w:i/>
          <w:iCs/>
          <w:color w:val="000000" w:themeColor="text1"/>
          <w:sz w:val="24"/>
          <w:highlight w:val="none"/>
          <w:u w:val="single"/>
        </w:rPr>
        <w:t xml:space="preserve">中明确的所属行业）</w:t>
      </w:r>
      <w:r>
        <w:rPr>
          <w:rFonts w:hint="eastAsia" w:ascii="宋体" w:hAnsi="宋体" w:cs="宋体"/>
          <w:color w:val="000000" w:themeColor="text1"/>
          <w:sz w:val="24"/>
          <w:highlight w:val="none"/>
        </w:rPr>
        <w:t xml:space="preserve">行业；承接企业为</w:t>
      </w:r>
      <w:r>
        <w:rPr>
          <w:rFonts w:hint="eastAsia" w:ascii="宋体" w:hAnsi="宋体" w:cs="宋体"/>
          <w:i/>
          <w:iCs/>
          <w:color w:val="000000" w:themeColor="text1"/>
          <w:sz w:val="24"/>
          <w:highlight w:val="none"/>
          <w:u w:val="single"/>
        </w:rPr>
        <w:t xml:space="preserve">（企业名称）</w:t>
      </w:r>
      <w:r>
        <w:rPr>
          <w:rFonts w:hint="eastAsia" w:ascii="宋体" w:hAnsi="宋体" w:cs="宋体"/>
          <w:color w:val="000000" w:themeColor="text1"/>
          <w:sz w:val="24"/>
          <w:highlight w:val="none"/>
        </w:rPr>
        <w:t xml:space="preserve">，从业人员人，营业收入为万元，资产总额为万元，属于</w:t>
      </w:r>
      <w:r>
        <w:rPr>
          <w:rFonts w:hint="eastAsia" w:ascii="宋体" w:hAnsi="宋体" w:cs="宋体"/>
          <w:i/>
          <w:iCs/>
          <w:color w:val="000000" w:themeColor="text1"/>
          <w:sz w:val="24"/>
          <w:highlight w:val="none"/>
          <w:u w:val="single"/>
        </w:rPr>
        <w:t xml:space="preserve">（中型企业、小型企业、微型企业）</w:t>
      </w:r>
      <w:r>
        <w:rPr>
          <w:rFonts w:hint="eastAsia" w:ascii="宋体" w:hAnsi="宋体" w:cs="宋体"/>
          <w:color w:val="000000" w:themeColor="text1"/>
          <w:sz w:val="24"/>
          <w:highlight w:val="none"/>
        </w:rPr>
        <w:t xml:space="preserve">；</w:t>
      </w:r>
      <w:r/>
    </w:p>
    <w:p>
      <w:pPr>
        <w:numPr>
          <w:ilvl w:val="0"/>
          <w:numId w:val="9"/>
        </w:numPr>
        <w:ind w:firstLine="480"/>
        <w:spacing w:line="600" w:lineRule="exact"/>
        <w:rPr>
          <w:rFonts w:ascii="宋体" w:hAnsi="宋体" w:cs="宋体"/>
          <w:color w:val="000000" w:themeColor="text1"/>
          <w:sz w:val="24"/>
          <w:highlight w:val="none"/>
        </w:rPr>
      </w:pPr>
      <w:r>
        <w:rPr>
          <w:rFonts w:hint="eastAsia" w:ascii="宋体" w:hAnsi="宋体" w:cs="宋体"/>
          <w:i/>
          <w:iCs/>
          <w:color w:val="000000" w:themeColor="text1"/>
          <w:sz w:val="24"/>
          <w:highlight w:val="none"/>
          <w:u w:val="single"/>
        </w:rPr>
        <w:t xml:space="preserve">（标的名称） </w:t>
      </w:r>
      <w:r>
        <w:rPr>
          <w:rFonts w:hint="eastAsia" w:ascii="宋体" w:hAnsi="宋体" w:cs="宋体"/>
          <w:color w:val="000000" w:themeColor="text1"/>
          <w:sz w:val="24"/>
          <w:highlight w:val="none"/>
        </w:rPr>
        <w:t xml:space="preserve">，属于</w:t>
      </w:r>
      <w:r>
        <w:rPr>
          <w:rFonts w:hint="eastAsia" w:ascii="宋体" w:hAnsi="宋体" w:cs="宋体"/>
          <w:i/>
          <w:iCs/>
          <w:color w:val="000000" w:themeColor="text1"/>
          <w:sz w:val="24"/>
          <w:highlight w:val="none"/>
          <w:u w:val="single"/>
        </w:rPr>
        <w:t xml:space="preserve">（</w:t>
      </w:r>
      <w:r>
        <w:rPr>
          <w:rFonts w:hint="eastAsia" w:ascii="宋体" w:hAnsi="宋体" w:cs="宋体"/>
          <w:i/>
          <w:iCs/>
          <w:color w:val="000000" w:themeColor="text1"/>
          <w:sz w:val="24"/>
          <w:highlight w:val="none"/>
          <w:u w:val="single"/>
          <w:lang w:eastAsia="zh-CN"/>
        </w:rPr>
        <w:t xml:space="preserve">磋商文件</w:t>
      </w:r>
      <w:r>
        <w:rPr>
          <w:rFonts w:hint="eastAsia" w:ascii="宋体" w:hAnsi="宋体" w:cs="宋体"/>
          <w:i/>
          <w:iCs/>
          <w:color w:val="000000" w:themeColor="text1"/>
          <w:sz w:val="24"/>
          <w:highlight w:val="none"/>
          <w:u w:val="single"/>
        </w:rPr>
        <w:t xml:space="preserve">中明确的所属行业）</w:t>
      </w:r>
      <w:r>
        <w:rPr>
          <w:rFonts w:hint="eastAsia" w:ascii="宋体" w:hAnsi="宋体" w:cs="宋体"/>
          <w:color w:val="000000" w:themeColor="text1"/>
          <w:sz w:val="24"/>
          <w:highlight w:val="none"/>
        </w:rPr>
        <w:t xml:space="preserve">行业；承接企业为</w:t>
      </w:r>
      <w:r>
        <w:rPr>
          <w:rFonts w:hint="eastAsia" w:ascii="宋体" w:hAnsi="宋体" w:cs="宋体"/>
          <w:i/>
          <w:iCs/>
          <w:color w:val="000000" w:themeColor="text1"/>
          <w:sz w:val="24"/>
          <w:highlight w:val="none"/>
          <w:u w:val="single"/>
        </w:rPr>
        <w:t xml:space="preserve">（企业名称）</w:t>
      </w:r>
      <w:r>
        <w:rPr>
          <w:rFonts w:hint="eastAsia" w:ascii="宋体" w:hAnsi="宋体" w:cs="宋体"/>
          <w:color w:val="000000" w:themeColor="text1"/>
          <w:sz w:val="24"/>
          <w:highlight w:val="none"/>
        </w:rPr>
        <w:t xml:space="preserve">，从业人员人，营业收入为万元，资产总额为万元，属于</w:t>
      </w:r>
      <w:r>
        <w:rPr>
          <w:rFonts w:hint="eastAsia" w:ascii="宋体" w:hAnsi="宋体" w:cs="宋体"/>
          <w:i/>
          <w:iCs/>
          <w:color w:val="000000" w:themeColor="text1"/>
          <w:sz w:val="24"/>
          <w:highlight w:val="none"/>
          <w:u w:val="single"/>
        </w:rPr>
        <w:t xml:space="preserve">（中型企业、小型企业、微型企业）</w:t>
      </w:r>
      <w:r>
        <w:rPr>
          <w:rFonts w:hint="eastAsia" w:ascii="宋体" w:hAnsi="宋体" w:cs="宋体"/>
          <w:color w:val="000000" w:themeColor="text1"/>
          <w:sz w:val="24"/>
          <w:highlight w:val="none"/>
        </w:rPr>
        <w:t xml:space="preserve">；</w:t>
      </w:r>
      <w:r/>
    </w:p>
    <w:p>
      <w:pPr>
        <w:ind w:firstLine="480"/>
        <w:spacing w:line="6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p>
    <w:p>
      <w:pPr>
        <w:ind w:firstLine="480"/>
        <w:spacing w:line="6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以上企业，不属于大企业的分支机构，不存在控股股东为大企业的情形，也不存在与大企业的负责人为同一人的情形。</w:t>
      </w:r>
      <w:r/>
    </w:p>
    <w:p>
      <w:pPr>
        <w:ind w:firstLine="480"/>
        <w:spacing w:line="6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本企业对上述声明内容的真实性负责。如有虚假，将依法承担相应责任。</w:t>
      </w:r>
      <w:r/>
    </w:p>
    <w:p>
      <w:pPr>
        <w:ind w:firstLine="4080"/>
        <w:spacing w:line="6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企业名称（</w:t>
      </w:r>
      <w:r>
        <w:rPr>
          <w:rFonts w:hint="eastAsia" w:ascii="宋体" w:hAnsi="宋体" w:cs="宋体"/>
          <w:color w:val="000000" w:themeColor="text1"/>
          <w:highlight w:val="none"/>
        </w:rPr>
        <w:t xml:space="preserve">加盖CA电子公章</w:t>
      </w:r>
      <w:r>
        <w:rPr>
          <w:rFonts w:hint="eastAsia" w:ascii="宋体" w:hAnsi="宋体" w:cs="宋体"/>
          <w:color w:val="000000" w:themeColor="text1"/>
          <w:sz w:val="24"/>
          <w:highlight w:val="none"/>
        </w:rPr>
        <w:t xml:space="preserve">）：</w:t>
      </w:r>
      <w:r/>
    </w:p>
    <w:p>
      <w:pPr>
        <w:ind w:firstLine="4080"/>
        <w:spacing w:line="6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日期：</w:t>
      </w:r>
      <w:r/>
    </w:p>
    <w:p>
      <w:pPr>
        <w:ind w:firstLine="480"/>
        <w:spacing w:line="0" w:lineRule="atLeast"/>
        <w:rPr>
          <w:rFonts w:ascii="Calibri" w:hAnsi="Calibri"/>
          <w:color w:val="000000" w:themeColor="text1"/>
          <w:sz w:val="24"/>
          <w:highlight w:val="none"/>
        </w:rPr>
      </w:pPr>
      <w:r>
        <w:rPr>
          <w:rFonts w:hint="eastAsia" w:ascii="宋体" w:hAnsi="宋体" w:cs="宋体"/>
          <w:color w:val="000000" w:themeColor="text1"/>
          <w:sz w:val="24"/>
          <w:highlight w:val="none"/>
        </w:rPr>
        <w:t xml:space="preserve">备注</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从业人员、营业收入、资产总额填报上一年度数据，无上一年度数据的新成立企业可不填报。</w:t>
      </w:r>
      <w:r/>
    </w:p>
    <w:p>
      <w:pPr>
        <w:jc w:val="center"/>
        <w:spacing w:line="560" w:lineRule="exact"/>
        <w:rPr>
          <w:rFonts w:ascii="宋体" w:hAnsi="宋体" w:cs="宋体"/>
          <w:b/>
          <w:bCs/>
          <w:color w:val="000000" w:themeColor="text1"/>
          <w:sz w:val="24"/>
          <w:highlight w:val="none"/>
        </w:rPr>
      </w:pPr>
      <w:r>
        <w:rPr>
          <w:rFonts w:ascii="宋体" w:hAnsi="宋体" w:cs="宋体"/>
          <w:b/>
          <w:bCs/>
          <w:color w:val="000000" w:themeColor="text1"/>
          <w:sz w:val="24"/>
          <w:highlight w:val="none"/>
        </w:rPr>
      </w:r>
      <w:r/>
    </w:p>
    <w:p>
      <w:pP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br w:type="page" w:clear="all"/>
      </w:r>
      <w:r/>
    </w:p>
    <w:p>
      <w:pPr>
        <w:jc w:val="cente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十、残疾人福利性单位声明函</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color w:val="000000" w:themeColor="text1"/>
          <w:sz w:val="24"/>
          <w:highlight w:val="none"/>
          <w:lang w:eastAsia="zh-CN"/>
        </w:rPr>
        <w:t xml:space="preserve">磋商文件</w:t>
      </w:r>
      <w:r>
        <w:rPr>
          <w:rFonts w:hint="eastAsia" w:ascii="宋体" w:hAnsi="宋体" w:cs="宋体"/>
          <w:color w:val="000000" w:themeColor="text1"/>
          <w:sz w:val="24"/>
          <w:highlight w:val="none"/>
        </w:rPr>
        <w:t xml:space="preserve">编号为______的项目采购活动由本单位提供服务。</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本单位对上述声明的真实性负责。如有虚假，将依法承担相应责任。</w:t>
      </w: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（备注：中标供应商为残疾人福利单位的，此声明函将随中标结果同时公告，接受社会监督）</w:t>
      </w:r>
      <w:r/>
    </w:p>
    <w:p>
      <w:pPr>
        <w:ind w:firstLine="624"/>
        <w:spacing w:line="360" w:lineRule="auto"/>
        <w:rPr>
          <w:rFonts w:ascii="宋体" w:hAnsi="宋体" w:cs="宋体"/>
          <w:color w:val="000000" w:themeColor="text1"/>
          <w:spacing w:val="6"/>
          <w:sz w:val="24"/>
          <w:highlight w:val="none"/>
        </w:rPr>
      </w:pPr>
      <w:r>
        <w:rPr>
          <w:rFonts w:ascii="宋体" w:hAnsi="宋体" w:cs="宋体"/>
          <w:color w:val="000000" w:themeColor="text1"/>
          <w:spacing w:val="6"/>
          <w:sz w:val="24"/>
          <w:highlight w:val="none"/>
        </w:rPr>
      </w:r>
      <w:r/>
    </w:p>
    <w:p>
      <w:pPr>
        <w:ind w:right="1560" w:firstLine="624"/>
        <w:jc w:val="center"/>
        <w:spacing w:line="360" w:lineRule="auto"/>
        <w:tabs>
          <w:tab w:val="left" w:pos="48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供应商全称（加盖CA电子公章）：</w:t>
      </w:r>
      <w:r/>
    </w:p>
    <w:p>
      <w:pPr>
        <w:ind w:right="1560" w:firstLine="480"/>
        <w:jc w:val="center"/>
        <w:spacing w:line="360" w:lineRule="auto"/>
        <w:tabs>
          <w:tab w:val="left" w:pos="48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日  期：</w:t>
      </w:r>
      <w:r/>
    </w:p>
    <w:p>
      <w:pPr>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left"/>
        <w:spacing w:line="360" w:lineRule="auto"/>
        <w:widowControl/>
        <w:rPr>
          <w:rFonts w:ascii="宋体" w:hAnsi="宋体" w:cs="宋体"/>
          <w:b/>
          <w:color w:val="000000" w:themeColor="text1"/>
          <w:sz w:val="24"/>
          <w:highlight w:val="none"/>
        </w:rPr>
        <w:sectPr>
          <w:headerReference w:type="default" r:id="rId9"/>
          <w:footerReference w:type="default" r:id="rId12"/>
          <w:footnotePr/>
          <w:endnotePr/>
          <w:type w:val="nextPage"/>
          <w:pgSz w:w="11906" w:h="16838" w:orient="portrait"/>
          <w:pgMar w:top="1015" w:right="1196" w:bottom="868" w:left="1259" w:header="851" w:footer="907" w:gutter="0"/>
          <w:pgNumType w:start="1"/>
          <w:cols w:num="1" w:sep="0" w:space="720" w:equalWidth="1"/>
          <w:docGrid w:linePitch="360"/>
        </w:sectPr>
      </w:pPr>
      <w:r>
        <w:rPr>
          <w:rFonts w:ascii="宋体" w:hAnsi="宋体" w:cs="宋体"/>
          <w:b/>
          <w:color w:val="000000" w:themeColor="text1"/>
          <w:sz w:val="24"/>
          <w:highlight w:val="none"/>
        </w:rPr>
      </w:r>
      <w:r/>
    </w:p>
    <w:p>
      <w:pPr>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十一、磋商报价表</w:t>
      </w:r>
      <w:r/>
    </w:p>
    <w:p>
      <w:pPr>
        <w:ind w:firstLine="482"/>
        <w:spacing w:line="276" w:lineRule="auto"/>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货币单位：人民币元</w:t>
      </w:r>
      <w:r/>
    </w:p>
    <w:p>
      <w:pPr>
        <w:ind w:firstLine="482"/>
        <w:spacing w:line="276" w:lineRule="auto"/>
        <w:rPr>
          <w:rFonts w:hint="eastAsia" w:ascii="宋体" w:hAnsi="宋体" w:eastAsia="宋体" w:cs="宋体"/>
          <w:b/>
          <w:color w:val="000000" w:themeColor="text1"/>
          <w:sz w:val="22"/>
          <w:szCs w:val="22"/>
          <w:highlight w:val="none"/>
          <w:lang w:eastAsia="zh-CN"/>
        </w:rPr>
      </w:pPr>
      <w:r>
        <w:rPr>
          <w:rFonts w:hint="eastAsia" w:ascii="宋体" w:hAnsi="宋体" w:cs="宋体"/>
          <w:b/>
          <w:color w:val="000000" w:themeColor="text1"/>
          <w:sz w:val="22"/>
          <w:szCs w:val="22"/>
          <w:highlight w:val="none"/>
        </w:rPr>
        <w:t xml:space="preserve">项目编号：</w:t>
      </w:r>
      <w:r>
        <w:rPr>
          <w:rFonts w:hint="eastAsia" w:ascii="宋体" w:hAnsi="宋体" w:cs="宋体"/>
          <w:b/>
          <w:color w:val="000000" w:themeColor="text1"/>
          <w:sz w:val="22"/>
          <w:szCs w:val="22"/>
          <w:highlight w:val="none"/>
          <w:lang w:eastAsia="zh-CN"/>
        </w:rPr>
        <w:t xml:space="preserve">JSZC-320900-YCZH-C2025-0012</w:t>
      </w:r>
      <w:r/>
    </w:p>
    <w:p>
      <w:pPr>
        <w:ind w:firstLine="482"/>
        <w:spacing w:line="276" w:lineRule="auto"/>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bl>
      <w:tblPr>
        <w:tblStyle w:val="809"/>
        <w:tblW w:w="94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80"/>
        <w:gridCol w:w="2228"/>
        <w:gridCol w:w="3154"/>
      </w:tblGrid>
      <w:tr>
        <w:trPr>
          <w:trHeight w:val="1146"/>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b/>
                <w:color w:val="000000" w:themeColor="text1"/>
                <w:sz w:val="24"/>
                <w:szCs w:val="22"/>
                <w:highlight w:val="none"/>
              </w:rPr>
            </w:pPr>
            <w:r>
              <w:rPr>
                <w:rFonts w:hint="eastAsia" w:ascii="宋体" w:hAnsi="宋体" w:cs="宋体"/>
                <w:b/>
                <w:color w:val="000000" w:themeColor="text1"/>
                <w:sz w:val="24"/>
                <w:szCs w:val="22"/>
                <w:highlight w:val="none"/>
                <w:lang w:eastAsia="en-US"/>
              </w:rPr>
              <w:t xml:space="preserve">项目名称</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b/>
                <w:color w:val="000000" w:themeColor="text1"/>
                <w:sz w:val="24"/>
                <w:szCs w:val="22"/>
                <w:highlight w:val="none"/>
              </w:rPr>
            </w:pPr>
            <w:r>
              <w:rPr>
                <w:rFonts w:hint="eastAsia" w:ascii="宋体" w:hAnsi="宋体" w:cs="宋体"/>
                <w:b/>
                <w:color w:val="000000" w:themeColor="text1"/>
                <w:sz w:val="24"/>
                <w:szCs w:val="22"/>
                <w:highlight w:val="none"/>
                <w:lang w:eastAsia="en-US"/>
              </w:rPr>
              <w:t xml:space="preserve">项目内容</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b/>
                <w:color w:val="000000" w:themeColor="text1"/>
                <w:sz w:val="24"/>
                <w:szCs w:val="22"/>
                <w:highlight w:val="none"/>
              </w:rPr>
            </w:pPr>
            <w:r>
              <w:rPr>
                <w:rFonts w:hint="eastAsia" w:ascii="宋体" w:hAnsi="宋体" w:cs="宋体"/>
                <w:b/>
                <w:color w:val="000000" w:themeColor="text1"/>
                <w:sz w:val="24"/>
                <w:szCs w:val="22"/>
                <w:highlight w:val="none"/>
                <w:lang w:eastAsia="en-US"/>
              </w:rPr>
              <w:t xml:space="preserve">总价（小写）</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盐城市公安局交管支队亭湖大队文峰中队营房装修改造</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color w:val="000000" w:themeColor="text1"/>
                <w:sz w:val="24"/>
                <w:szCs w:val="22"/>
                <w:highlight w:val="none"/>
              </w:rPr>
            </w:pPr>
            <w:r>
              <w:rPr>
                <w:rFonts w:hint="eastAsia" w:ascii="宋体" w:hAnsi="宋体" w:cs="宋体"/>
                <w:color w:val="000000" w:themeColor="text1"/>
                <w:sz w:val="24"/>
                <w:szCs w:val="22"/>
                <w:highlight w:val="none"/>
                <w:lang w:eastAsia="en-US"/>
              </w:rPr>
              <w:t xml:space="preserve">详见</w:t>
            </w:r>
            <w:r>
              <w:rPr>
                <w:rFonts w:hint="eastAsia" w:ascii="宋体" w:hAnsi="宋体" w:cs="宋体"/>
                <w:color w:val="000000" w:themeColor="text1"/>
                <w:sz w:val="24"/>
                <w:szCs w:val="22"/>
                <w:highlight w:val="none"/>
              </w:rPr>
              <w:t xml:space="preserve">响应</w:t>
            </w:r>
            <w:r>
              <w:rPr>
                <w:rFonts w:hint="eastAsia" w:ascii="宋体" w:hAnsi="宋体" w:cs="宋体"/>
                <w:color w:val="000000" w:themeColor="text1"/>
                <w:sz w:val="24"/>
                <w:szCs w:val="22"/>
                <w:highlight w:val="none"/>
                <w:lang w:eastAsia="en-US"/>
              </w:rPr>
              <w:t xml:space="preserve">文件</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color w:val="000000" w:themeColor="text1"/>
                <w:sz w:val="24"/>
                <w:szCs w:val="22"/>
                <w:highlight w:val="none"/>
              </w:rPr>
            </w:pPr>
            <w:r>
              <w:rPr>
                <w:rFonts w:hint="eastAsia" w:ascii="宋体" w:hAnsi="宋体" w:cs="宋体"/>
                <w:color w:val="000000" w:themeColor="text1"/>
                <w:sz w:val="24"/>
                <w:szCs w:val="22"/>
                <w:highlight w:val="none"/>
                <w:lang w:eastAsia="en-US"/>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color w:val="000000" w:themeColor="text1"/>
                <w:sz w:val="24"/>
                <w:szCs w:val="22"/>
                <w:highlight w:val="none"/>
              </w:rPr>
            </w:pPr>
            <w:r>
              <w:rPr>
                <w:rFonts w:hint="eastAsia" w:ascii="宋体" w:hAnsi="宋体" w:cs="宋体"/>
                <w:color w:val="000000" w:themeColor="text1"/>
                <w:sz w:val="24"/>
                <w:szCs w:val="22"/>
                <w:highlight w:val="none"/>
                <w:lang w:eastAsia="en-US"/>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rPr>
                <w:rFonts w:ascii="宋体" w:hAnsi="宋体" w:cs="宋体"/>
                <w:color w:val="000000" w:themeColor="text1"/>
                <w:sz w:val="24"/>
                <w:szCs w:val="22"/>
                <w:highlight w:val="none"/>
              </w:rPr>
            </w:pPr>
            <w:r>
              <w:rPr>
                <w:rFonts w:hint="eastAsia" w:ascii="宋体" w:hAnsi="宋体" w:cs="宋体"/>
                <w:color w:val="000000" w:themeColor="text1"/>
                <w:sz w:val="24"/>
                <w:szCs w:val="22"/>
                <w:highlight w:val="none"/>
                <w:lang w:eastAsia="en-US"/>
              </w:rPr>
              <w:t xml:space="preserve">金额大写 </w:t>
            </w:r>
            <w:r/>
          </w:p>
        </w:tc>
      </w:tr>
    </w:tbl>
    <w:p>
      <w:pPr>
        <w:pStyle w:val="803"/>
        <w:rPr>
          <w:color w:val="000000" w:themeColor="text1"/>
          <w:highlight w:val="none"/>
        </w:rPr>
      </w:pPr>
      <w:r>
        <w:rPr>
          <w:color w:val="000000" w:themeColor="text1"/>
          <w:highlight w:val="none"/>
        </w:rPr>
        <w:t xml:space="preserve"> </w:t>
      </w:r>
      <w:r/>
    </w:p>
    <w:p>
      <w:pPr>
        <w:pStyle w:val="803"/>
        <w:jc w:val="left"/>
        <w:rPr>
          <w:color w:val="000000" w:themeColor="text1"/>
          <w:highlight w:val="none"/>
        </w:rPr>
      </w:pPr>
      <w:r>
        <w:rPr>
          <w:color w:val="000000" w:themeColor="text1"/>
          <w:highlight w:val="none"/>
        </w:rPr>
        <w:t xml:space="preserve">供应商（电子签章）：</w:t>
      </w:r>
      <w:r/>
    </w:p>
    <w:p>
      <w:pPr>
        <w:pStyle w:val="803"/>
        <w:jc w:val="right"/>
        <w:rPr>
          <w:color w:val="000000" w:themeColor="text1"/>
          <w:highlight w:val="none"/>
        </w:rPr>
      </w:pPr>
      <w:r>
        <w:rPr>
          <w:color w:val="000000" w:themeColor="text1"/>
          <w:highlight w:val="none"/>
        </w:rPr>
        <w:t xml:space="preserve">日期：</w:t>
      </w:r>
      <w:r>
        <w:rPr>
          <w:color w:val="000000" w:themeColor="text1"/>
          <w:highlight w:val="none"/>
        </w:rPr>
        <mc:AlternateContent>
          <mc:Choice Requires="wpg">
            <w:drawing>
              <wp:inline xmlns:wp="http://schemas.openxmlformats.org/drawingml/2006/wordprocessingDrawing" distT="0" distB="0" distL="0" distR="0">
                <wp:extent cx="635" cy="0"/>
                <wp:effectExtent l="0" t="0" r="0" b="0"/>
                <wp:docPr id="4"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w:pict>
          </mc:Fallback>
        </mc:AlternateContent>
      </w:r>
      <w:r>
        <w:rPr>
          <w:color w:val="000000" w:themeColor="text1"/>
          <w:highlight w:val="none"/>
        </w:rPr>
        <w:t xml:space="preserve"> 年</w:t>
      </w:r>
      <w:r>
        <w:rPr>
          <w:color w:val="000000" w:themeColor="text1"/>
          <w:highlight w:val="none"/>
        </w:rPr>
        <mc:AlternateContent>
          <mc:Choice Requires="wpg">
            <w:drawing>
              <wp:inline xmlns:wp="http://schemas.openxmlformats.org/drawingml/2006/wordprocessingDrawing" distT="0" distB="0" distL="0" distR="0">
                <wp:extent cx="635" cy="0"/>
                <wp:effectExtent l="0" t="0" r="0" b="0"/>
                <wp:docPr id="5"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rPr>
          <w:color w:val="000000" w:themeColor="text1"/>
          <w:highlight w:val="none"/>
        </w:rPr>
        <w:t xml:space="preserve"> 月</w:t>
      </w:r>
      <w:r>
        <w:rPr>
          <w:color w:val="000000" w:themeColor="text1"/>
          <w:highlight w:val="none"/>
        </w:rPr>
        <mc:AlternateContent>
          <mc:Choice Requires="wpg">
            <w:drawing>
              <wp:inline xmlns:wp="http://schemas.openxmlformats.org/drawingml/2006/wordprocessingDrawing" distT="0" distB="0" distL="0" distR="0">
                <wp:extent cx="635" cy="0"/>
                <wp:effectExtent l="0" t="0" r="0" b="0"/>
                <wp:docPr id="6"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rPr>
          <w:color w:val="000000" w:themeColor="text1"/>
          <w:highlight w:val="none"/>
        </w:rPr>
        <w:t xml:space="preserve"> 日</w:t>
      </w:r>
      <w:r/>
    </w:p>
    <w:p>
      <w:pPr>
        <w:spacing w:before="100" w:beforeAutospacing="1" w:after="100" w:afterAutospacing="1"/>
        <w:rPr>
          <w:rFonts w:ascii="宋体" w:hAnsi="宋体" w:cs="宋体"/>
          <w:color w:val="000000" w:themeColor="text1"/>
          <w:sz w:val="24"/>
          <w:highlight w:val="none"/>
        </w:rPr>
      </w:pPr>
      <w:r>
        <w:rPr>
          <w:rFonts w:ascii="宋体" w:hAnsi="宋体" w:cs="宋体"/>
          <w:color w:val="000000" w:themeColor="text1"/>
          <w:sz w:val="24"/>
          <w:highlight w:val="none"/>
        </w:rPr>
      </w:r>
      <w:r/>
    </w:p>
    <w:p>
      <w:pPr>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spacing w:line="360" w:lineRule="auto"/>
        <w:rPr>
          <w:rFonts w:ascii="宋体" w:hAnsi="宋体" w:cs="宋体"/>
          <w:bCs/>
          <w:color w:val="000000" w:themeColor="text1"/>
          <w:sz w:val="24"/>
          <w:highlight w:val="none"/>
        </w:rPr>
      </w:pPr>
      <w:r>
        <w:rPr>
          <w:rFonts w:ascii="宋体" w:hAnsi="宋体" w:cs="宋体"/>
          <w:bCs/>
          <w:color w:val="000000" w:themeColor="text1"/>
          <w:sz w:val="24"/>
          <w:highlight w:val="none"/>
        </w:rPr>
      </w:r>
      <w:r/>
    </w:p>
    <w:p>
      <w:pPr>
        <w:spacing w:line="360" w:lineRule="auto"/>
        <w:rPr>
          <w:rFonts w:ascii="宋体" w:hAnsi="宋体" w:cs="宋体"/>
          <w:bCs/>
          <w:color w:val="000000" w:themeColor="text1"/>
          <w:sz w:val="24"/>
          <w:highlight w:val="none"/>
        </w:rPr>
      </w:pPr>
      <w:r>
        <w:rPr>
          <w:rFonts w:ascii="宋体" w:hAnsi="宋体" w:cs="宋体"/>
          <w:bCs/>
          <w:color w:val="000000" w:themeColor="text1"/>
          <w:sz w:val="24"/>
          <w:highlight w:val="none"/>
        </w:rPr>
      </w:r>
      <w:r/>
    </w:p>
    <w:p>
      <w:pPr>
        <w:spacing w:line="360" w:lineRule="auto"/>
        <w:rPr>
          <w:rFonts w:ascii="宋体" w:hAnsi="宋体" w:cs="宋体"/>
          <w:bCs/>
          <w:color w:val="000000" w:themeColor="text1"/>
          <w:sz w:val="24"/>
          <w:highlight w:val="none"/>
        </w:rPr>
      </w:pPr>
      <w:r>
        <w:rPr>
          <w:rFonts w:ascii="宋体" w:hAnsi="宋体" w:cs="宋体"/>
          <w:bCs/>
          <w:color w:val="000000" w:themeColor="text1"/>
          <w:sz w:val="24"/>
          <w:highlight w:val="none"/>
        </w:rPr>
      </w:r>
      <w:r/>
    </w:p>
    <w:p>
      <w:pPr>
        <w:spacing w:line="360" w:lineRule="auto"/>
        <w:rPr>
          <w:rFonts w:ascii="宋体" w:hAnsi="宋体" w:cs="宋体"/>
          <w:bCs/>
          <w:color w:val="000000" w:themeColor="text1"/>
          <w:sz w:val="24"/>
          <w:highlight w:val="none"/>
        </w:rPr>
      </w:pPr>
      <w:r>
        <w:rPr>
          <w:rFonts w:ascii="宋体" w:hAnsi="宋体" w:cs="宋体"/>
          <w:bCs/>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rPr>
          <w:rFonts w:ascii="宋体" w:hAnsi="宋体" w:cs="宋体"/>
          <w:b/>
          <w:color w:val="000000" w:themeColor="text1"/>
          <w:sz w:val="24"/>
          <w:highlight w:val="none"/>
        </w:rPr>
      </w:pPr>
      <w:r>
        <w:rPr>
          <w:rFonts w:hint="eastAsia" w:ascii="宋体" w:hAnsi="宋体" w:cs="宋体"/>
          <w:b/>
          <w:color w:val="000000" w:themeColor="text1"/>
          <w:sz w:val="24"/>
          <w:highlight w:val="none"/>
        </w:rPr>
        <w:br w:type="page" w:clear="all"/>
      </w:r>
      <w:r/>
    </w:p>
    <w:p>
      <w:pPr>
        <w:jc w:val="center"/>
        <w:spacing w:line="360" w:lineRule="auto"/>
        <w:rPr>
          <w:rFonts w:ascii="宋体" w:hAnsi="宋体" w:cs="宋体"/>
          <w:b/>
          <w:bCs/>
          <w:color w:val="000000" w:themeColor="text1"/>
          <w:sz w:val="24"/>
          <w:highlight w:val="none"/>
        </w:rPr>
      </w:pPr>
      <w:r>
        <w:rPr>
          <w:rFonts w:hint="eastAsia" w:ascii="宋体" w:hAnsi="宋体" w:cs="宋体"/>
          <w:b/>
          <w:color w:val="000000" w:themeColor="text1"/>
          <w:sz w:val="24"/>
          <w:highlight w:val="none"/>
        </w:rPr>
        <w:t xml:space="preserve">十二、</w:t>
      </w:r>
      <w:r>
        <w:rPr>
          <w:rFonts w:hint="eastAsia" w:ascii="宋体" w:hAnsi="宋体" w:cs="宋体"/>
          <w:b/>
          <w:bCs/>
          <w:color w:val="000000" w:themeColor="text1"/>
          <w:sz w:val="24"/>
          <w:highlight w:val="none"/>
        </w:rPr>
        <w:t xml:space="preserve">已标价招标工程量清单</w:t>
      </w:r>
      <w:r/>
    </w:p>
    <w:p>
      <w:pPr>
        <w:jc w:val="center"/>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p>
    <w:p>
      <w:pPr>
        <w:rPr>
          <w:rFonts w:ascii="宋体" w:hAnsi="宋体" w:cs="宋体"/>
          <w:b/>
          <w:color w:val="000000" w:themeColor="text1"/>
          <w:sz w:val="24"/>
          <w:highlight w:val="none"/>
        </w:rPr>
      </w:pPr>
      <w:r>
        <w:rPr>
          <w:rFonts w:hint="eastAsia" w:ascii="宋体" w:hAnsi="宋体" w:cs="宋体"/>
          <w:b/>
          <w:color w:val="000000" w:themeColor="text1"/>
          <w:sz w:val="24"/>
          <w:highlight w:val="none"/>
        </w:rPr>
        <w:br w:type="page" w:clear="all"/>
      </w:r>
      <w:r/>
    </w:p>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十三、技术要求响应及偏离表</w:t>
      </w:r>
      <w:r/>
    </w:p>
    <w:tbl>
      <w:tblPr>
        <w:tblStyle w:val="768"/>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磋商文件</w:t>
            </w:r>
            <w:r>
              <w:rPr>
                <w:rFonts w:hint="eastAsia" w:ascii="宋体" w:hAnsi="宋体" w:cs="宋体"/>
                <w:color w:val="000000" w:themeColor="text1"/>
                <w:sz w:val="24"/>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证明</w:t>
            </w:r>
            <w:r/>
          </w:p>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r>
    </w:tbl>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 行数不够，可自行添加。</w:t>
      </w:r>
      <w:r/>
    </w:p>
    <w:p>
      <w:pPr>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pStyle w:val="818"/>
        <w:rPr>
          <w:rFonts w:eastAsia="宋体"/>
          <w:color w:val="000000" w:themeColor="text1"/>
          <w:highlight w:val="none"/>
        </w:rPr>
      </w:pPr>
      <w:r>
        <w:rPr>
          <w:rFonts w:eastAsia="宋体"/>
          <w:color w:val="000000" w:themeColor="text1"/>
          <w:highlight w:val="none"/>
        </w:rPr>
      </w:r>
      <w:r/>
    </w:p>
    <w:p>
      <w:pPr>
        <w:pStyle w:val="818"/>
        <w:rPr>
          <w:rFonts w:eastAsia="宋体"/>
          <w:color w:val="000000" w:themeColor="text1"/>
          <w:highlight w:val="none"/>
        </w:rPr>
      </w:pPr>
      <w:r>
        <w:rPr>
          <w:rFonts w:eastAsia="宋体"/>
          <w:color w:val="000000" w:themeColor="text1"/>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pStyle w:val="807"/>
        <w:rPr>
          <w:rFonts w:ascii="宋体" w:hAnsi="宋体" w:cs="宋体"/>
          <w:color w:val="000000" w:themeColor="text1"/>
          <w:sz w:val="24"/>
          <w:highlight w:val="none"/>
        </w:rPr>
      </w:pPr>
      <w:r>
        <w:rPr>
          <w:rFonts w:ascii="宋体" w:hAnsi="宋体" w:cs="宋体"/>
          <w:color w:val="000000" w:themeColor="text1"/>
          <w:sz w:val="24"/>
          <w:highlight w:val="none"/>
        </w:rPr>
      </w:r>
      <w:r/>
    </w:p>
    <w:p>
      <w:pPr>
        <w:pStyle w:val="807"/>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jc w:val="center"/>
        <w:spacing w:line="360" w:lineRule="auto"/>
        <w:rPr>
          <w:rFonts w:ascii="宋体" w:hAnsi="宋体" w:cs="宋体"/>
          <w:b/>
          <w:color w:val="000000" w:themeColor="text1"/>
          <w:sz w:val="24"/>
          <w:highlight w:val="none"/>
        </w:rPr>
      </w:pPr>
      <w:r/>
      <w:bookmarkStart w:id="234" w:name="_Hlt26955054"/>
      <w:r/>
      <w:bookmarkEnd w:id="234"/>
      <w:r>
        <w:rPr>
          <w:rFonts w:hint="eastAsia" w:ascii="宋体" w:hAnsi="宋体" w:cs="宋体"/>
          <w:b/>
          <w:color w:val="000000" w:themeColor="text1"/>
          <w:sz w:val="24"/>
          <w:highlight w:val="none"/>
        </w:rPr>
        <w:t xml:space="preserve">十四、商务要求响应及偏离表</w:t>
      </w:r>
      <w:r/>
    </w:p>
    <w:tbl>
      <w:tblPr>
        <w:tblStyle w:val="768"/>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rPr>
                <w:rFonts w:ascii="宋体" w:hAnsi="宋体" w:cs="宋体"/>
                <w:color w:val="000000" w:themeColor="text1"/>
                <w:sz w:val="24"/>
                <w:highlight w:val="none"/>
              </w:rPr>
            </w:pPr>
            <w:r/>
            <w:bookmarkStart w:id="235" w:name="_Hlt26955064"/>
            <w:r/>
            <w:bookmarkEnd w:id="235"/>
            <w:r/>
            <w:bookmarkStart w:id="236" w:name="_Hlt26580838"/>
            <w:r/>
            <w:bookmarkEnd w:id="236"/>
            <w:r/>
            <w:bookmarkStart w:id="237" w:name="_Hlt26671343"/>
            <w:r/>
            <w:bookmarkEnd w:id="237"/>
            <w:r/>
            <w:bookmarkStart w:id="238" w:name="_Hlt26955056"/>
            <w:r/>
            <w:bookmarkEnd w:id="238"/>
            <w:r/>
            <w:bookmarkStart w:id="239" w:name="_Hlt26671372"/>
            <w:r/>
            <w:bookmarkEnd w:id="239"/>
            <w:r/>
            <w:bookmarkStart w:id="240" w:name="_Hlt24879081"/>
            <w:r/>
            <w:bookmarkEnd w:id="240"/>
            <w:r/>
            <w:bookmarkStart w:id="241" w:name="_Hlt26782999"/>
            <w:r/>
            <w:bookmarkEnd w:id="241"/>
            <w:r/>
            <w:bookmarkStart w:id="242" w:name="_Hlt26609391"/>
            <w:r/>
            <w:bookmarkEnd w:id="242"/>
            <w:r>
              <w:rPr>
                <w:rFonts w:hint="eastAsia" w:ascii="宋体" w:hAnsi="宋体" w:cs="宋体"/>
                <w:color w:val="000000" w:themeColor="text1"/>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磋商文件</w:t>
            </w:r>
            <w:r>
              <w:rPr>
                <w:rFonts w:hint="eastAsia" w:ascii="宋体" w:hAnsi="宋体" w:cs="宋体"/>
                <w:color w:val="000000" w:themeColor="text1"/>
                <w:sz w:val="24"/>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证明</w:t>
            </w:r>
            <w:r/>
          </w:p>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合同内容</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按照</w:t>
            </w:r>
            <w:r>
              <w:rPr>
                <w:rFonts w:hint="eastAsia" w:ascii="宋体" w:hAnsi="宋体" w:cs="宋体"/>
                <w:color w:val="000000" w:themeColor="text1"/>
                <w:sz w:val="24"/>
                <w:highlight w:val="none"/>
                <w:lang w:eastAsia="zh-CN"/>
              </w:rPr>
              <w:t xml:space="preserve">磋商文件</w:t>
            </w:r>
            <w:r>
              <w:rPr>
                <w:rFonts w:hint="eastAsia" w:ascii="宋体" w:hAnsi="宋体" w:cs="宋体"/>
                <w:color w:val="000000" w:themeColor="text1"/>
                <w:sz w:val="24"/>
                <w:highlight w:val="none"/>
              </w:rPr>
              <w:t xml:space="preserve">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工期</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日历天</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质量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合格</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按照</w:t>
            </w:r>
            <w:r>
              <w:rPr>
                <w:rFonts w:hint="eastAsia" w:ascii="宋体" w:hAnsi="宋体" w:cs="宋体"/>
                <w:color w:val="000000" w:themeColor="text1"/>
                <w:sz w:val="24"/>
                <w:highlight w:val="none"/>
                <w:lang w:eastAsia="zh-CN"/>
              </w:rPr>
              <w:t xml:space="preserve">磋商文件</w:t>
            </w:r>
            <w:r>
              <w:rPr>
                <w:rFonts w:hint="eastAsia" w:ascii="宋体" w:hAnsi="宋体" w:cs="宋体"/>
                <w:color w:val="000000" w:themeColor="text1"/>
                <w:sz w:val="24"/>
                <w:highlight w:val="none"/>
              </w:rPr>
              <w:t xml:space="preserve">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投标货币</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r>
      <w:tr>
        <w:trPr>
          <w:cantSplit/>
          <w:trHeight w:val="571"/>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按照</w:t>
            </w:r>
            <w:r>
              <w:rPr>
                <w:rFonts w:hint="eastAsia" w:ascii="宋体" w:hAnsi="宋体" w:cs="宋体"/>
                <w:color w:val="000000" w:themeColor="text1"/>
                <w:sz w:val="24"/>
                <w:highlight w:val="none"/>
                <w:lang w:eastAsia="zh-CN"/>
              </w:rPr>
              <w:t xml:space="preserve">磋商文件</w:t>
            </w:r>
            <w:r>
              <w:rPr>
                <w:rFonts w:hint="eastAsia" w:ascii="宋体" w:hAnsi="宋体" w:cs="宋体"/>
                <w:color w:val="000000" w:themeColor="text1"/>
                <w:sz w:val="24"/>
                <w:highlight w:val="none"/>
              </w:rPr>
              <w:t xml:space="preserve">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bCs/>
                <w:color w:val="000000" w:themeColor="text1"/>
                <w:sz w:val="24"/>
                <w:highlight w:val="none"/>
              </w:rPr>
              <w:t xml:space="preserve">承包方式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bCs/>
                <w:color w:val="000000" w:themeColor="text1"/>
                <w:sz w:val="24"/>
                <w:highlight w:val="none"/>
              </w:rPr>
              <w:t xml:space="preserve">包工包料</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按照</w:t>
            </w:r>
            <w:r>
              <w:rPr>
                <w:rFonts w:hint="eastAsia" w:ascii="宋体" w:hAnsi="宋体" w:cs="宋体"/>
                <w:color w:val="000000" w:themeColor="text1"/>
                <w:sz w:val="24"/>
                <w:highlight w:val="none"/>
                <w:lang w:eastAsia="zh-CN"/>
              </w:rPr>
              <w:t xml:space="preserve">磋商文件</w:t>
            </w:r>
            <w:r>
              <w:rPr>
                <w:rFonts w:hint="eastAsia" w:ascii="宋体" w:hAnsi="宋体" w:cs="宋体"/>
                <w:color w:val="000000" w:themeColor="text1"/>
                <w:sz w:val="24"/>
                <w:highlight w:val="none"/>
              </w:rPr>
              <w:t xml:space="preserve">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tc>
      </w:tr>
    </w:tbl>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 行数不够，可自行添加。</w:t>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rPr>
          <w:rFonts w:ascii="宋体" w:hAnsi="宋体" w:cs="宋体"/>
          <w:b/>
          <w:color w:val="000000" w:themeColor="text1"/>
          <w:sz w:val="32"/>
          <w:szCs w:val="32"/>
          <w:highlight w:val="none"/>
        </w:rPr>
      </w:pPr>
      <w:r>
        <w:rPr>
          <w:rFonts w:hint="eastAsia" w:ascii="宋体" w:hAnsi="宋体" w:cs="宋体"/>
          <w:b/>
          <w:bCs/>
          <w:color w:val="000000" w:themeColor="text1"/>
          <w:sz w:val="24"/>
          <w:highlight w:val="none"/>
        </w:rPr>
        <w:br w:type="page" w:clear="all"/>
      </w:r>
      <w:r/>
    </w:p>
    <w:p>
      <w:pPr>
        <w:jc w:val="cente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十五、实施方案</w:t>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jc w:val="center"/>
        <w:rPr>
          <w:rFonts w:ascii="宋体" w:hAnsi="宋体" w:cs="宋体"/>
          <w:b/>
          <w:color w:val="000000" w:themeColor="text1"/>
          <w:sz w:val="24"/>
          <w:highlight w:val="none"/>
        </w:rPr>
      </w:pPr>
      <w:r>
        <w:rPr>
          <w:rFonts w:ascii="宋体" w:hAnsi="宋体" w:cs="宋体"/>
          <w:b/>
          <w:color w:val="000000" w:themeColor="text1"/>
          <w:sz w:val="24"/>
          <w:highlight w:val="none"/>
        </w:rPr>
      </w:r>
      <w:r/>
    </w:p>
    <w:p>
      <w:pPr>
        <w:rPr>
          <w:rFonts w:ascii="宋体" w:hAnsi="宋体" w:cs="宋体"/>
          <w:color w:val="000000" w:themeColor="text1"/>
          <w:sz w:val="32"/>
          <w:szCs w:val="32"/>
          <w:highlight w:val="none"/>
        </w:rPr>
      </w:pPr>
      <w:r>
        <w:rPr>
          <w:rFonts w:hint="eastAsia" w:ascii="宋体" w:hAnsi="宋体" w:cs="宋体"/>
          <w:color w:val="000000" w:themeColor="text1"/>
          <w:sz w:val="32"/>
          <w:szCs w:val="32"/>
          <w:highlight w:val="none"/>
        </w:rPr>
        <w:br w:type="page" w:clear="all"/>
      </w:r>
      <w:r/>
    </w:p>
    <w:p>
      <w:pPr>
        <w:jc w:val="cente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十六、盐城市政府采购事前信用承诺书</w:t>
      </w: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为营造我市公开、公平、公正、诚实守信的政府采购交易环境，树立诚信守法的供应商形象，本人代表本单位作出以下承诺：</w:t>
      </w:r>
      <w:r/>
    </w:p>
    <w:p>
      <w:pPr>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（三）严格依照国家和省、市关于政府采购的法律、法规、规章、规范性文件，参加政府采购投标活动；积极履行社会责任，促进廉政建设； </w:t>
      </w:r>
      <w:r/>
    </w:p>
    <w:p>
      <w:pPr>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（四）严格遵守即时信息公示规定，及时维护和更新盐城市政府采购网中与本单位相关的信息；</w:t>
      </w:r>
      <w:r/>
    </w:p>
    <w:p>
      <w:pPr>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（六）自觉接受政府、行业组织、社会公众、新闻舆论的监督；</w:t>
      </w: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（八）本人已认真阅读了上述承诺，并向本单位员工作了宣传教育。</w:t>
      </w:r>
      <w:r/>
    </w:p>
    <w:p>
      <w:pPr>
        <w:spacing w:line="500" w:lineRule="exact"/>
        <w:rPr>
          <w:rFonts w:ascii="宋体" w:hAnsi="宋体" w:cs="宋体"/>
          <w:color w:val="000000" w:themeColor="text1"/>
          <w:sz w:val="24"/>
          <w:highlight w:val="none"/>
        </w:rPr>
      </w:pPr>
      <w:r>
        <w:rPr>
          <w:rFonts w:ascii="宋体" w:hAnsi="宋体" w:cs="宋体"/>
          <w:color w:val="000000" w:themeColor="text1"/>
          <w:sz w:val="24"/>
          <w:highlight w:val="none"/>
        </w:rPr>
      </w:r>
      <w:r/>
    </w:p>
    <w:p>
      <w:pPr>
        <w:jc w:val="center"/>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法定代表人（签字或盖章）：</w:t>
      </w:r>
      <w:r/>
    </w:p>
    <w:p>
      <w:pPr>
        <w:jc w:val="center"/>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单位名称（盖章）：</w:t>
      </w:r>
      <w:r/>
    </w:p>
    <w:p>
      <w:pPr>
        <w:jc w:val="center"/>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年    月    日</w:t>
      </w:r>
      <w:r/>
    </w:p>
    <w:p>
      <w:pPr>
        <w:jc w:val="left"/>
        <w:widowControl/>
        <w:rPr>
          <w:rFonts w:ascii="宋体" w:hAnsi="宋体" w:cs="宋体"/>
          <w:color w:val="000000" w:themeColor="text1"/>
          <w:sz w:val="24"/>
          <w:highlight w:val="none"/>
        </w:rPr>
      </w:pPr>
      <w:r>
        <w:rPr>
          <w:rFonts w:ascii="宋体" w:hAnsi="宋体" w:cs="宋体"/>
          <w:color w:val="000000" w:themeColor="text1"/>
          <w:sz w:val="24"/>
          <w:highlight w:val="none"/>
        </w:rPr>
      </w:r>
      <w:r/>
    </w:p>
    <w:p>
      <w:pPr>
        <w:jc w:val="left"/>
        <w:widowControl/>
        <w:rPr>
          <w:rFonts w:ascii="宋体" w:hAnsi="宋体" w:cs="宋体"/>
          <w:b/>
          <w:color w:val="000000" w:themeColor="text1"/>
          <w:sz w:val="32"/>
          <w:szCs w:val="32"/>
          <w:highlight w:val="none"/>
        </w:rPr>
      </w:pPr>
      <w:r>
        <w:rPr>
          <w:b/>
          <w:color w:val="000000" w:themeColor="text1"/>
          <w:sz w:val="32"/>
          <w:szCs w:val="32"/>
          <w:highlight w:val="none"/>
        </w:rPr>
        <w:br w:type="page" w:clear="all"/>
      </w:r>
      <w:r/>
    </w:p>
    <w:p>
      <w:pPr>
        <w:jc w:val="cente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十七、供应商认为需要提供的其他证明材料</w:t>
      </w:r>
      <w:r/>
    </w:p>
    <w:p>
      <w:pP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br w:type="page" w:clear="all"/>
      </w:r>
      <w:r/>
    </w:p>
    <w:p>
      <w:pPr>
        <w:jc w:val="center"/>
        <w:spacing w:line="499" w:lineRule="atLeast"/>
        <w:widowControl/>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十八、项目建设供应商承诺函</w:t>
      </w:r>
      <w:r/>
    </w:p>
    <w:p>
      <w:pPr>
        <w:ind w:firstLine="420"/>
        <w:spacing w:line="48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对未列出的其他事项，严格按照法律法规等具体规定执行。</w:t>
      </w:r>
      <w:r/>
    </w:p>
    <w:p>
      <w:pPr>
        <w:ind w:firstLine="420"/>
        <w:spacing w:line="48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现承诺，我单位在履行</w:t>
      </w:r>
      <w:r>
        <w:rPr>
          <w:rFonts w:hint="eastAsia" w:ascii="宋体" w:hAnsi="宋体" w:cs="宋体"/>
          <w:color w:val="000000" w:themeColor="text1"/>
          <w:szCs w:val="21"/>
          <w:highlight w:val="none"/>
          <w:u w:val="single"/>
        </w:rPr>
        <w:t xml:space="preserve">    （ 项目名称  ）         </w:t>
      </w:r>
      <w:r>
        <w:rPr>
          <w:rFonts w:hint="eastAsia" w:ascii="宋体" w:hAnsi="宋体" w:cs="宋体"/>
          <w:color w:val="000000" w:themeColor="text1"/>
          <w:szCs w:val="21"/>
          <w:highlight w:val="none"/>
        </w:rPr>
        <w:t xml:space="preserve">的项目建设中，将严格按照提示函的内容和要求执行，如若违反愿意承担相应的责任。</w:t>
      </w:r>
      <w:r/>
    </w:p>
    <w:p>
      <w:pPr>
        <w:spacing w:line="480" w:lineRule="auto"/>
        <w:rPr>
          <w:rFonts w:ascii="宋体" w:hAnsi="宋体" w:cs="宋体"/>
          <w:color w:val="000000" w:themeColor="text1"/>
          <w:szCs w:val="21"/>
          <w:highlight w:val="none"/>
        </w:rPr>
      </w:pPr>
      <w:r>
        <w:rPr>
          <w:rFonts w:ascii="宋体" w:hAnsi="宋体" w:cs="宋体"/>
          <w:color w:val="000000" w:themeColor="text1"/>
          <w:szCs w:val="21"/>
          <w:highlight w:val="none"/>
        </w:rPr>
      </w:r>
      <w:r/>
    </w:p>
    <w:p>
      <w:pPr>
        <w:ind w:firstLine="630"/>
        <w:spacing w:line="48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供应商项目负责人（签字）：            联系方式：</w:t>
      </w:r>
      <w:r/>
    </w:p>
    <w:p>
      <w:pPr>
        <w:jc w:val="center"/>
        <w:spacing w:line="499" w:lineRule="atLeast"/>
        <w:widowControl/>
        <w:rPr>
          <w:rFonts w:ascii="宋体" w:hAnsi="宋体" w:cs="宋体"/>
          <w:color w:val="000000" w:themeColor="text1"/>
          <w:szCs w:val="21"/>
          <w:highlight w:val="none"/>
        </w:rPr>
      </w:pPr>
      <w:r>
        <w:rPr>
          <w:rFonts w:ascii="宋体" w:hAnsi="宋体" w:cs="宋体"/>
          <w:color w:val="000000" w:themeColor="text1"/>
          <w:szCs w:val="21"/>
          <w:highlight w:val="none"/>
        </w:rPr>
      </w:r>
      <w:r/>
    </w:p>
    <w:p>
      <w:pPr>
        <w:jc w:val="center"/>
        <w:spacing w:line="499" w:lineRule="atLeas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单位名称（盖章）：</w:t>
      </w:r>
      <w:r/>
    </w:p>
    <w:p>
      <w:pPr>
        <w:jc w:val="right"/>
        <w:spacing w:line="499" w:lineRule="atLeas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年</w:t>
      </w:r>
      <w:r>
        <w:rPr>
          <w:rFonts w:hint="eastAsia" w:ascii="宋体" w:hAnsi="宋体" w:cs="宋体"/>
          <w:color w:val="000000" w:themeColor="text1"/>
          <w:szCs w:val="21"/>
          <w:highlight w:val="none"/>
          <w:lang w:val="en-US" w:eastAsia="zh-CN"/>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lang w:val="en-US" w:eastAsia="zh-CN"/>
        </w:rPr>
        <w:t xml:space="preserve">   </w:t>
      </w:r>
      <w:r>
        <w:rPr>
          <w:rFonts w:hint="eastAsia" w:ascii="宋体" w:hAnsi="宋体" w:cs="宋体"/>
          <w:color w:val="000000" w:themeColor="text1"/>
          <w:szCs w:val="21"/>
          <w:highlight w:val="none"/>
        </w:rPr>
        <w:t xml:space="preserve">日</w:t>
      </w:r>
      <w:r/>
    </w:p>
    <w:p>
      <w:pPr>
        <w:pStyle w:val="803"/>
        <w:jc w:val="center"/>
        <w:spacing w:beforeAutospacing="0" w:afterAutospacing="0"/>
        <w:rPr>
          <w:b/>
          <w:color w:val="000000" w:themeColor="text1"/>
          <w:sz w:val="32"/>
          <w:szCs w:val="32"/>
          <w:highlight w:val="none"/>
        </w:rPr>
      </w:pPr>
      <w:r>
        <w:rPr>
          <w:b/>
          <w:color w:val="000000" w:themeColor="text1"/>
          <w:sz w:val="32"/>
          <w:szCs w:val="32"/>
          <w:highlight w:val="none"/>
        </w:rPr>
      </w:r>
      <w:r/>
    </w:p>
    <w:p>
      <w:pPr>
        <w:pStyle w:val="803"/>
        <w:jc w:val="center"/>
        <w:spacing w:beforeAutospacing="0" w:afterAutospacing="0"/>
        <w:rPr>
          <w:b/>
          <w:color w:val="000000" w:themeColor="text1"/>
          <w:sz w:val="32"/>
          <w:szCs w:val="32"/>
          <w:highlight w:val="none"/>
        </w:rPr>
      </w:pPr>
      <w:r>
        <w:rPr>
          <w:b/>
          <w:color w:val="000000" w:themeColor="text1"/>
          <w:sz w:val="32"/>
          <w:szCs w:val="32"/>
          <w:highlight w:val="none"/>
        </w:rPr>
      </w:r>
      <w:r/>
    </w:p>
    <w:p>
      <w:pPr>
        <w:jc w:val="left"/>
        <w:widowControl/>
        <w:rPr>
          <w:rFonts w:ascii="宋体" w:hAnsi="宋体" w:cs="宋体"/>
          <w:b/>
          <w:color w:val="000000" w:themeColor="text1"/>
          <w:sz w:val="32"/>
          <w:szCs w:val="32"/>
          <w:highlight w:val="none"/>
        </w:rPr>
      </w:pPr>
      <w:r>
        <w:rPr>
          <w:b/>
          <w:color w:val="000000" w:themeColor="text1"/>
          <w:sz w:val="32"/>
          <w:szCs w:val="32"/>
          <w:highlight w:val="none"/>
        </w:rPr>
        <w:br w:type="page" w:clear="all"/>
      </w:r>
      <w:r/>
    </w:p>
    <w:p>
      <w:pPr>
        <w:pStyle w:val="803"/>
        <w:jc w:val="center"/>
        <w:rPr>
          <w:b/>
          <w:color w:val="000000" w:themeColor="text1"/>
          <w:sz w:val="32"/>
          <w:szCs w:val="32"/>
          <w:highlight w:val="none"/>
        </w:rPr>
      </w:pPr>
      <w:r>
        <w:rPr>
          <w:rFonts w:hint="eastAsia"/>
          <w:b/>
          <w:color w:val="000000" w:themeColor="text1"/>
          <w:sz w:val="32"/>
          <w:szCs w:val="32"/>
          <w:highlight w:val="none"/>
        </w:rPr>
        <w:t xml:space="preserve">质疑函范本</w:t>
      </w:r>
      <w:r/>
    </w:p>
    <w:p>
      <w:pPr>
        <w:pStyle w:val="1161"/>
        <w:jc w:val="both"/>
        <w:spacing w:before="290" w:beforeAutospacing="0" w:afterAutospacing="0"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一、质疑供应商基本信息</w:t>
      </w:r>
      <w:r/>
    </w:p>
    <w:p>
      <w:pPr>
        <w:pStyle w:val="1161"/>
        <w:jc w:val="both"/>
        <w:spacing w:beforeAutospacing="0" w:afterAutospacing="0"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质疑供应商：</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 xml:space="preserve">       </w:t>
      </w:r>
      <w:r/>
    </w:p>
    <w:p>
      <w:pPr>
        <w:pStyle w:val="1161"/>
        <w:jc w:val="both"/>
        <w:spacing w:beforeAutospacing="0" w:afterAutospacing="0" w:line="264" w:lineRule="auto"/>
        <w:rPr>
          <w:rFonts w:hint="eastAsia" w:ascii="宋体" w:hAnsi="宋体" w:cs="宋体"/>
          <w:color w:val="000000" w:themeColor="text1"/>
          <w:highlight w:val="none"/>
          <w:u w:val="single"/>
        </w:rPr>
      </w:pPr>
      <w:r>
        <w:rPr>
          <w:rFonts w:hint="eastAsia" w:ascii="宋体" w:hAnsi="宋体" w:cs="宋体"/>
          <w:color w:val="000000" w:themeColor="text1"/>
          <w:highlight w:val="none"/>
        </w:rPr>
        <w:t xml:space="preserve">地址：</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 xml:space="preserve">      </w:t>
      </w:r>
      <w:r/>
    </w:p>
    <w:p>
      <w:pPr>
        <w:pStyle w:val="1161"/>
        <w:jc w:val="both"/>
        <w:spacing w:beforeAutospacing="0" w:afterAutospacing="0"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邮编：</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 xml:space="preserve">        </w:t>
      </w:r>
      <w:r/>
    </w:p>
    <w:p>
      <w:pPr>
        <w:pStyle w:val="1161"/>
        <w:jc w:val="both"/>
        <w:spacing w:beforeAutospacing="0" w:afterAutospacing="0" w:line="264" w:lineRule="auto"/>
        <w:rPr>
          <w:rFonts w:hint="eastAsia" w:ascii="宋体" w:hAnsi="宋体" w:cs="宋体"/>
          <w:color w:val="000000" w:themeColor="text1"/>
          <w:highlight w:val="none"/>
          <w:u w:val="single"/>
        </w:rPr>
      </w:pPr>
      <w:r>
        <w:rPr>
          <w:rFonts w:hint="eastAsia" w:ascii="宋体" w:hAnsi="宋体" w:cs="宋体"/>
          <w:color w:val="000000" w:themeColor="text1"/>
          <w:highlight w:val="none"/>
        </w:rPr>
        <w:t xml:space="preserve">联系人：</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 xml:space="preserve">       </w:t>
      </w:r>
      <w:r/>
    </w:p>
    <w:p>
      <w:pPr>
        <w:pStyle w:val="1161"/>
        <w:jc w:val="both"/>
        <w:spacing w:beforeAutospacing="0" w:afterAutospacing="0"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联系电话：</w:t>
      </w:r>
      <w:r>
        <w:rPr>
          <w:rFonts w:hint="eastAsia" w:ascii="宋体" w:hAnsi="宋体" w:cs="宋体"/>
          <w:color w:val="000000" w:themeColor="text1"/>
          <w:highlight w:val="none"/>
          <w:u w:val="single"/>
        </w:rPr>
        <w:t xml:space="preserve">                                           </w:t>
      </w:r>
      <w:r/>
    </w:p>
    <w:p>
      <w:pPr>
        <w:pStyle w:val="1161"/>
        <w:jc w:val="both"/>
        <w:spacing w:beforeAutospacing="0" w:afterAutospacing="0"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授权代表：</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 xml:space="preserve">        </w:t>
      </w:r>
      <w:r/>
    </w:p>
    <w:p>
      <w:pPr>
        <w:pStyle w:val="1161"/>
        <w:jc w:val="both"/>
        <w:spacing w:beforeAutospacing="0" w:afterAutospacing="0"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联系电话：</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 xml:space="preserve">     </w:t>
      </w:r>
      <w:r/>
    </w:p>
    <w:p>
      <w:pPr>
        <w:pStyle w:val="1161"/>
        <w:jc w:val="both"/>
        <w:spacing w:beforeAutospacing="0" w:afterAutospacing="0" w:line="264" w:lineRule="auto"/>
        <w:rPr>
          <w:rFonts w:hint="eastAsia" w:ascii="宋体" w:hAnsi="宋体" w:cs="宋体"/>
          <w:color w:val="000000" w:themeColor="text1"/>
          <w:highlight w:val="none"/>
          <w:u w:val="single"/>
        </w:rPr>
      </w:pPr>
      <w:r>
        <w:rPr>
          <w:rFonts w:hint="eastAsia" w:ascii="宋体" w:hAnsi="宋体" w:cs="宋体"/>
          <w:color w:val="000000" w:themeColor="text1"/>
          <w:highlight w:val="none"/>
        </w:rPr>
        <w:t xml:space="preserve">地址： </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 xml:space="preserve">        </w:t>
      </w:r>
      <w:r/>
    </w:p>
    <w:p>
      <w:pPr>
        <w:pStyle w:val="1161"/>
        <w:jc w:val="both"/>
        <w:spacing w:beforeAutospacing="0" w:afterAutospacing="0"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邮编：</w:t>
      </w:r>
      <w:r>
        <w:rPr>
          <w:rFonts w:hint="eastAsia" w:ascii="宋体" w:hAnsi="宋体" w:cs="宋体"/>
          <w:color w:val="000000" w:themeColor="text1"/>
          <w:highlight w:val="none"/>
          <w:u w:val="single"/>
        </w:rPr>
        <w:t xml:space="preserve">                                </w:t>
      </w:r>
      <w:r/>
    </w:p>
    <w:p>
      <w:pPr>
        <w:pStyle w:val="1161"/>
        <w:jc w:val="both"/>
        <w:spacing w:beforeAutospacing="0" w:afterAutospacing="0"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二、质疑项目基本情况</w:t>
      </w:r>
      <w:r/>
    </w:p>
    <w:p>
      <w:pPr>
        <w:pStyle w:val="1161"/>
        <w:jc w:val="both"/>
        <w:spacing w:beforeAutospacing="0" w:afterAutospacing="0"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质疑项目的名称：</w:t>
      </w:r>
      <w:r>
        <w:rPr>
          <w:rFonts w:hint="eastAsia" w:ascii="宋体" w:hAnsi="宋体" w:cs="宋体"/>
          <w:color w:val="000000" w:themeColor="text1"/>
          <w:highlight w:val="none"/>
          <w:u w:val="single"/>
        </w:rPr>
        <w:t xml:space="preserve">                            </w:t>
      </w:r>
      <w:r/>
    </w:p>
    <w:p>
      <w:pPr>
        <w:pStyle w:val="1161"/>
        <w:jc w:val="both"/>
        <w:spacing w:beforeAutospacing="0" w:afterAutospacing="0" w:line="264" w:lineRule="auto"/>
        <w:rPr>
          <w:rFonts w:hint="eastAsia" w:ascii="宋体" w:hAnsi="宋体" w:cs="宋体"/>
          <w:color w:val="000000" w:themeColor="text1"/>
          <w:highlight w:val="none"/>
          <w:u w:val="single"/>
        </w:rPr>
      </w:pPr>
      <w:r>
        <w:rPr>
          <w:rFonts w:hint="eastAsia" w:ascii="宋体" w:hAnsi="宋体" w:cs="宋体"/>
          <w:color w:val="000000" w:themeColor="text1"/>
          <w:highlight w:val="none"/>
        </w:rPr>
        <w:t xml:space="preserve">质疑项目的编号：</w:t>
      </w:r>
      <w:r>
        <w:rPr>
          <w:rFonts w:hint="eastAsia" w:ascii="宋体" w:hAnsi="宋体" w:cs="宋体"/>
          <w:color w:val="000000" w:themeColor="text1"/>
          <w:highlight w:val="none"/>
          <w:u w:val="single"/>
        </w:rPr>
        <w:t xml:space="preserve">                          </w:t>
      </w:r>
      <w:r/>
    </w:p>
    <w:p>
      <w:pPr>
        <w:pStyle w:val="1161"/>
        <w:jc w:val="both"/>
        <w:spacing w:beforeAutospacing="0" w:afterAutospacing="0"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包号：</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ab/>
      </w:r>
      <w:r>
        <w:rPr>
          <w:rFonts w:hint="eastAsia" w:ascii="宋体" w:hAnsi="宋体" w:cs="宋体"/>
          <w:color w:val="000000" w:themeColor="text1"/>
          <w:highlight w:val="none"/>
          <w:u w:val="single"/>
        </w:rPr>
        <w:t xml:space="preserve">    </w:t>
      </w:r>
      <w:r/>
    </w:p>
    <w:p>
      <w:pPr>
        <w:pStyle w:val="1161"/>
        <w:jc w:val="both"/>
        <w:spacing w:beforeAutospacing="0" w:afterAutospacing="0"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采购人名称：</w:t>
      </w:r>
      <w:r>
        <w:rPr>
          <w:rFonts w:hint="eastAsia" w:ascii="宋体" w:hAnsi="宋体" w:cs="宋体"/>
          <w:color w:val="000000" w:themeColor="text1"/>
          <w:highlight w:val="none"/>
          <w:u w:val="single"/>
        </w:rPr>
        <w:t xml:space="preserve">                            </w:t>
      </w:r>
      <w:r/>
    </w:p>
    <w:p>
      <w:pPr>
        <w:pStyle w:val="1161"/>
        <w:jc w:val="both"/>
        <w:spacing w:beforeAutospacing="0" w:afterAutospacing="0" w:line="264" w:lineRule="auto"/>
        <w:rPr>
          <w:rFonts w:hint="eastAsia" w:ascii="宋体" w:hAnsi="宋体" w:cs="宋体"/>
          <w:color w:val="000000" w:themeColor="text1"/>
          <w:highlight w:val="none"/>
        </w:rPr>
      </w:pPr>
      <w:r>
        <w:rPr>
          <w:rFonts w:hint="eastAsia" w:ascii="宋体" w:hAnsi="宋体" w:cs="宋体"/>
          <w:color w:val="000000" w:themeColor="text1"/>
          <w:highlight w:val="none"/>
          <w:lang w:eastAsia="zh-CN"/>
        </w:rPr>
        <w:t xml:space="preserve">磋商文件</w:t>
      </w:r>
      <w:r>
        <w:rPr>
          <w:rFonts w:hint="eastAsia" w:ascii="宋体" w:hAnsi="宋体" w:cs="宋体"/>
          <w:color w:val="000000" w:themeColor="text1"/>
          <w:highlight w:val="none"/>
        </w:rPr>
        <w:t xml:space="preserve">获取日期：</w:t>
      </w:r>
      <w:r>
        <w:rPr>
          <w:rFonts w:hint="eastAsia" w:ascii="宋体" w:hAnsi="宋体" w:cs="宋体"/>
          <w:color w:val="000000" w:themeColor="text1"/>
          <w:highlight w:val="none"/>
          <w:u w:val="single"/>
        </w:rPr>
        <w:t xml:space="preserve">                             </w:t>
      </w:r>
      <w:r/>
    </w:p>
    <w:p>
      <w:pPr>
        <w:pStyle w:val="1161"/>
        <w:jc w:val="both"/>
        <w:spacing w:beforeAutospacing="0" w:afterAutospacing="0"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三、质疑事项具体内容</w:t>
      </w:r>
      <w:r/>
    </w:p>
    <w:p>
      <w:pPr>
        <w:pStyle w:val="1161"/>
        <w:jc w:val="both"/>
        <w:spacing w:beforeAutospacing="0" w:afterAutospacing="0"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质疑事项1：</w:t>
      </w:r>
      <w:r>
        <w:rPr>
          <w:rFonts w:hint="eastAsia" w:ascii="宋体" w:hAnsi="宋体" w:cs="宋体"/>
          <w:color w:val="000000" w:themeColor="text1"/>
          <w:highlight w:val="none"/>
          <w:u w:val="single"/>
        </w:rPr>
        <w:t xml:space="preserve">                             </w:t>
      </w:r>
      <w:r/>
    </w:p>
    <w:p>
      <w:pPr>
        <w:pStyle w:val="1161"/>
        <w:spacing w:beforeAutospacing="0" w:afterAutospacing="0"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事实依据：</w:t>
      </w:r>
      <w:r>
        <w:rPr>
          <w:rFonts w:hint="eastAsia" w:ascii="宋体" w:hAnsi="宋体" w:cs="宋体"/>
          <w:color w:val="000000" w:themeColor="text1"/>
          <w:highlight w:val="none"/>
          <w:u w:val="single"/>
        </w:rPr>
        <w:t xml:space="preserve">                                                   </w:t>
      </w:r>
      <w:r/>
    </w:p>
    <w:p>
      <w:pPr>
        <w:pStyle w:val="1161"/>
        <w:jc w:val="both"/>
        <w:spacing w:beforeAutospacing="0" w:afterAutospacing="0"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法律依据：</w:t>
      </w:r>
      <w:r>
        <w:rPr>
          <w:rFonts w:hint="eastAsia" w:ascii="宋体" w:hAnsi="宋体" w:cs="宋体"/>
          <w:color w:val="000000" w:themeColor="text1"/>
          <w:highlight w:val="none"/>
          <w:u w:val="single"/>
        </w:rPr>
        <w:t xml:space="preserve">                                                    </w:t>
      </w:r>
      <w:r/>
    </w:p>
    <w:p>
      <w:pPr>
        <w:pStyle w:val="1161"/>
        <w:jc w:val="both"/>
        <w:spacing w:beforeAutospacing="0" w:afterAutospacing="0"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质疑事项2</w:t>
      </w:r>
      <w:r/>
    </w:p>
    <w:p>
      <w:pPr>
        <w:pStyle w:val="1161"/>
        <w:jc w:val="both"/>
        <w:spacing w:beforeAutospacing="0" w:afterAutospacing="0"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w:t>
      </w:r>
      <w:r/>
    </w:p>
    <w:p>
      <w:pPr>
        <w:pStyle w:val="1161"/>
        <w:jc w:val="both"/>
        <w:spacing w:beforeAutospacing="0" w:afterAutospacing="0"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四、与质疑事项相关的质疑请求</w:t>
      </w:r>
      <w:r/>
    </w:p>
    <w:p>
      <w:pPr>
        <w:pStyle w:val="1161"/>
        <w:jc w:val="both"/>
        <w:spacing w:beforeAutospacing="0" w:afterAutospacing="0"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请求：</w:t>
      </w:r>
      <w:r>
        <w:rPr>
          <w:rFonts w:hint="eastAsia" w:ascii="宋体" w:hAnsi="宋体" w:cs="宋体"/>
          <w:color w:val="000000" w:themeColor="text1"/>
          <w:highlight w:val="none"/>
          <w:u w:val="single"/>
        </w:rPr>
        <w:t xml:space="preserve">                                                          </w:t>
      </w:r>
      <w:r/>
    </w:p>
    <w:p>
      <w:pPr>
        <w:pStyle w:val="1161"/>
        <w:jc w:val="both"/>
        <w:spacing w:beforeAutospacing="0" w:afterAutospacing="0"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签字(签章)：                 公章：               日期：    </w:t>
      </w:r>
      <w:r/>
    </w:p>
    <w:p>
      <w:pPr>
        <w:pStyle w:val="1161"/>
        <w:jc w:val="both"/>
        <w:spacing w:beforeAutospacing="0" w:afterAutospacing="0" w:line="264" w:lineRule="auto"/>
        <w:rPr>
          <w:rFonts w:hint="eastAsia" w:ascii="宋体" w:hAnsi="宋体" w:cs="宋体"/>
          <w:color w:val="000000" w:themeColor="text1"/>
          <w:highlight w:val="none"/>
        </w:rPr>
      </w:pPr>
      <w:r>
        <w:rPr>
          <w:rFonts w:hint="eastAsia" w:ascii="宋体" w:hAnsi="宋体" w:cs="宋体"/>
          <w:b/>
          <w:color w:val="000000" w:themeColor="text1"/>
          <w:highlight w:val="none"/>
        </w:rPr>
        <w:t xml:space="preserve">质疑函制作说明：</w:t>
      </w:r>
      <w:r/>
    </w:p>
    <w:p>
      <w:pPr>
        <w:pStyle w:val="1161"/>
        <w:ind w:firstLine="480"/>
        <w:spacing w:beforeAutospacing="0" w:afterAutospacing="0" w:line="264"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1.供应商提出质疑时，应提交质疑函和必要的证明材料。</w:t>
      </w:r>
      <w:r/>
    </w:p>
    <w:p>
      <w:pPr>
        <w:pStyle w:val="1161"/>
        <w:ind w:firstLine="480"/>
        <w:spacing w:beforeAutospacing="0" w:afterAutospacing="0" w:line="264"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161"/>
        <w:ind w:firstLine="480"/>
        <w:spacing w:beforeAutospacing="0" w:afterAutospacing="0" w:line="264"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3.质疑供应商若对项目的某一分包进行质疑，质疑函中应列明具体分包号。</w:t>
      </w:r>
      <w:r/>
    </w:p>
    <w:p>
      <w:pPr>
        <w:pStyle w:val="1161"/>
        <w:ind w:firstLine="480"/>
        <w:spacing w:beforeAutospacing="0" w:afterAutospacing="0" w:line="264"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4.质疑函的质疑事项应具体、明确，并有必要的事实依据和法律依据。</w:t>
      </w:r>
      <w:r/>
    </w:p>
    <w:p>
      <w:pPr>
        <w:pStyle w:val="1161"/>
        <w:ind w:firstLine="480"/>
        <w:spacing w:beforeAutospacing="0" w:afterAutospacing="0" w:line="264"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5.质疑函的质疑请求应与质疑事项相关。</w:t>
      </w:r>
      <w:r/>
    </w:p>
    <w:p>
      <w:pPr>
        <w:pStyle w:val="1161"/>
        <w:ind w:firstLine="480"/>
        <w:spacing w:beforeAutospacing="0" w:afterAutospacing="0" w:line="264" w:lineRule="auto"/>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6.质疑供应商为自然人的，质疑函应由本人签字；质疑供应商为法人或者其他组织的，质疑函应由法定代表人、主要负责人，或者其授权代表签字或者盖章，并加盖公章。</w:t>
      </w:r>
      <w:r/>
    </w:p>
    <w:p>
      <w:pPr>
        <w:jc w:val="left"/>
        <w:keepLines w:val="0"/>
        <w:keepNext w:val="0"/>
        <w:pageBreakBefore w:val="0"/>
        <w:spacing w:line="440" w:lineRule="exact"/>
        <w:rPr>
          <w:color w:val="000000" w:themeColor="text1"/>
          <w:highlight w:val="none"/>
        </w:rPr>
      </w:pPr>
      <w:r>
        <w:rPr>
          <w:color w:val="000000" w:themeColor="text1"/>
          <w:highlight w:val="none"/>
        </w:rPr>
      </w:r>
      <w:r/>
    </w:p>
    <w:sectPr>
      <w:footerReference w:type="first" r:id="rId13"/>
      <w:footnotePr/>
      <w:endnotePr/>
      <w:type w:val="nextPage"/>
      <w:pgSz w:w="11906" w:h="16838" w:orient="portrait"/>
      <w:pgMar w:top="1474" w:right="1474" w:bottom="1474" w:left="1474"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imSun">
    <w:panose1 w:val="02010600030101010101"/>
  </w:font>
  <w:font w:name="Symbol">
    <w:panose1 w:val="05050102010706020507"/>
  </w:font>
  <w:font w:name="Wingdings">
    <w:panose1 w:val="05000000000000000000"/>
  </w:font>
  <w:font w:name="方正小标宋_GBK">
    <w:panose1 w:val="020B0503020202020204"/>
  </w:font>
  <w:font w:name="Book Antiqua">
    <w:panose1 w:val="02040602050305030304"/>
  </w:font>
  <w:font w:name="Tahoma">
    <w:panose1 w:val="020B0604030504040204"/>
  </w:font>
  <w:font w:name="仿宋">
    <w:panose1 w:val="02010609060101010101"/>
  </w:font>
  <w:font w:name="等线 Light">
    <w:panose1 w:val="02010600030101010101"/>
  </w:font>
  <w:font w:name="方正楷体_GBK">
    <w:panose1 w:val="020B0503020202020204"/>
  </w:font>
  <w:font w:name="Calibri">
    <w:panose1 w:val="020F0502020204030204"/>
  </w:font>
  <w:font w:name="Courier New">
    <w:panose1 w:val="02070309020205020404"/>
  </w:font>
  <w:font w:name="方正黑体_GBK">
    <w:panose1 w:val="020B0503020202020204"/>
  </w:font>
  <w:font w:name="Cambria">
    <w:panose1 w:val="02040503050406030204"/>
  </w:font>
  <w:font w:name="华文中宋">
    <w:panose1 w:val="02010600040101010101"/>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center"/>
    </w:pPr>
    <w:r>
      <w:fldChar w:fldCharType="begin"/>
    </w:r>
    <w:r>
      <w:instrText xml:space="preserve">PAGE   \* MERGEFORMAT</w:instrText>
    </w:r>
    <w:r>
      <w:fldChar w:fldCharType="separate"/>
    </w:r>
    <w:r>
      <w:rPr>
        <w:lang w:val="zh-CN"/>
      </w:rPr>
      <w:t xml:space="preserve">3</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center"/>
    </w:pPr>
    <w:r/>
    <w:r/>
  </w:p>
  <w:p>
    <w:pPr>
      <w:pStyle w:val="7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788"/>
                          </w:pPr>
                          <w:r>
                            <w:fldChar w:fldCharType="begin"/>
                          </w:r>
                          <w:r>
                            <w:instrText xml:space="preserve"> PAGE  \* MERGEFORMAT </w:instrText>
                          </w:r>
                          <w:r>
                            <w:fldChar w:fldCharType="separate"/>
                          </w:r>
                          <w:r>
                            <w:t xml:space="preserve">11</w:t>
                          </w:r>
                          <w:r>
                            <w:fldChar w:fldCharType="end"/>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8"/>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center"/>
    </w:pPr>
    <w:r>
      <w:fldChar w:fldCharType="begin"/>
    </w:r>
    <w:r>
      <w:instrText xml:space="preserve">PAGE   \* MERGEFORMAT</w:instrText>
    </w:r>
    <w:r>
      <w:fldChar w:fldCharType="separate"/>
    </w:r>
    <w:r>
      <w:rPr>
        <w:lang w:val="zh-CN"/>
      </w:rPr>
      <w:t xml:space="preserve">1</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06"/>
      <w:isLgl w:val="false"/>
      <w:suff w:val="tab"/>
      <w:lvlText w:val="第%1章"/>
      <w:lvlJc w:val="left"/>
      <w:pPr>
        <w:ind w:left="9351" w:hanging="420"/>
      </w:pPr>
      <w:rPr>
        <w:rFonts w:hint="eastAsia" w:ascii="黑体" w:eastAsia="黑体"/>
        <w:b w:val="0"/>
        <w:sz w:val="36"/>
        <w:lang w:val="en-US"/>
      </w:rPr>
    </w:lvl>
    <w:lvl w:ilvl="1">
      <w:start w:val="1"/>
      <w:numFmt w:val="decimal"/>
      <w:pStyle w:val="1107"/>
      <w:isLgl w:val="false"/>
      <w:suff w:val="tab"/>
      <w:lvlText w:val="%1.%2"/>
      <w:lvlJc w:val="left"/>
      <w:pPr>
        <w:ind w:left="0" w:firstLine="0"/>
        <w:tabs>
          <w:tab w:val="left" w:pos="851" w:leader="none"/>
        </w:tabs>
      </w:pPr>
      <w:rPr>
        <w:rFonts w:cs="Times New Roman"/>
        <w:b w:val="0"/>
        <w:bCs w:val="0"/>
        <w:i w:val="0"/>
        <w:iCs w:val="0"/>
        <w:caps w:val="0"/>
        <w:smallCaps w:val="0"/>
        <w:vanish w:val="0"/>
        <w:spacing w:val="0"/>
        <w:position w:val="0"/>
        <w:u w:val="none"/>
        <w:vertAlign w:val="baseline"/>
      </w:rPr>
    </w:lvl>
    <w:lvl w:ilvl="2">
      <w:start w:val="1"/>
      <w:numFmt w:val="decimal"/>
      <w:pStyle w:val="1108"/>
      <w:isLgl w:val="false"/>
      <w:suff w:val="tab"/>
      <w:lvlText w:val="%1.%2.%3"/>
      <w:lvlJc w:val="left"/>
      <w:pPr>
        <w:ind w:left="0" w:firstLine="0"/>
        <w:tabs>
          <w:tab w:val="left"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pStyle w:val="1121"/>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upperLetter"/>
      <w:pStyle w:val="111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6"/>
  </w:num>
  <w:num w:numId="4">
    <w:abstractNumId w:val="1"/>
  </w:num>
  <w:num w:numId="5">
    <w:abstractNumId w:val="5"/>
  </w:num>
  <w:num w:numId="6">
    <w:abstractNumId w:val="8"/>
  </w:num>
  <w:num w:numId="7">
    <w:abstractNumId w:val="0"/>
  </w:num>
  <w:num w:numId="8">
    <w:abstractNumId w:val="7"/>
  </w:num>
  <w:num w:numId="9">
    <w:abstractNumId w:val="4"/>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Heading 1 Char"/>
    <w:basedOn w:val="767"/>
    <w:link w:val="758"/>
    <w:uiPriority w:val="9"/>
    <w:rPr>
      <w:rFonts w:ascii="Arial" w:hAnsi="Arial" w:eastAsia="Arial" w:cs="Arial"/>
      <w:sz w:val="40"/>
      <w:szCs w:val="40"/>
    </w:rPr>
  </w:style>
  <w:style w:type="character" w:styleId="739">
    <w:name w:val="Heading 2 Char"/>
    <w:basedOn w:val="767"/>
    <w:link w:val="759"/>
    <w:uiPriority w:val="9"/>
    <w:rPr>
      <w:rFonts w:ascii="Arial" w:hAnsi="Arial" w:eastAsia="Arial" w:cs="Arial"/>
      <w:sz w:val="34"/>
    </w:rPr>
  </w:style>
  <w:style w:type="character" w:styleId="740">
    <w:name w:val="Heading 3 Char"/>
    <w:basedOn w:val="767"/>
    <w:link w:val="760"/>
    <w:uiPriority w:val="9"/>
    <w:rPr>
      <w:rFonts w:ascii="Arial" w:hAnsi="Arial" w:eastAsia="Arial" w:cs="Arial"/>
      <w:sz w:val="30"/>
      <w:szCs w:val="30"/>
    </w:rPr>
  </w:style>
  <w:style w:type="character" w:styleId="741">
    <w:name w:val="Heading 4 Char"/>
    <w:basedOn w:val="767"/>
    <w:link w:val="761"/>
    <w:uiPriority w:val="9"/>
    <w:rPr>
      <w:rFonts w:ascii="Arial" w:hAnsi="Arial" w:eastAsia="Arial" w:cs="Arial"/>
      <w:b/>
      <w:bCs/>
      <w:sz w:val="26"/>
      <w:szCs w:val="26"/>
    </w:rPr>
  </w:style>
  <w:style w:type="character" w:styleId="742">
    <w:name w:val="Heading 5 Char"/>
    <w:basedOn w:val="767"/>
    <w:link w:val="762"/>
    <w:uiPriority w:val="9"/>
    <w:rPr>
      <w:rFonts w:ascii="Arial" w:hAnsi="Arial" w:eastAsia="Arial" w:cs="Arial"/>
      <w:b/>
      <w:bCs/>
      <w:sz w:val="24"/>
      <w:szCs w:val="24"/>
    </w:rPr>
  </w:style>
  <w:style w:type="character" w:styleId="743">
    <w:name w:val="Heading 6 Char"/>
    <w:basedOn w:val="767"/>
    <w:link w:val="763"/>
    <w:uiPriority w:val="9"/>
    <w:rPr>
      <w:rFonts w:ascii="Arial" w:hAnsi="Arial" w:eastAsia="Arial" w:cs="Arial"/>
      <w:b/>
      <w:bCs/>
      <w:sz w:val="22"/>
      <w:szCs w:val="22"/>
    </w:rPr>
  </w:style>
  <w:style w:type="character" w:styleId="744">
    <w:name w:val="Heading 7 Char"/>
    <w:basedOn w:val="767"/>
    <w:link w:val="764"/>
    <w:uiPriority w:val="9"/>
    <w:rPr>
      <w:rFonts w:ascii="Arial" w:hAnsi="Arial" w:eastAsia="Arial" w:cs="Arial"/>
      <w:b/>
      <w:bCs/>
      <w:i/>
      <w:iCs/>
      <w:sz w:val="22"/>
      <w:szCs w:val="22"/>
    </w:rPr>
  </w:style>
  <w:style w:type="character" w:styleId="745">
    <w:name w:val="Heading 8 Char"/>
    <w:basedOn w:val="767"/>
    <w:link w:val="765"/>
    <w:uiPriority w:val="9"/>
    <w:rPr>
      <w:rFonts w:ascii="Arial" w:hAnsi="Arial" w:eastAsia="Arial" w:cs="Arial"/>
      <w:i/>
      <w:iCs/>
      <w:sz w:val="22"/>
      <w:szCs w:val="22"/>
    </w:rPr>
  </w:style>
  <w:style w:type="character" w:styleId="746">
    <w:name w:val="Heading 9 Char"/>
    <w:basedOn w:val="767"/>
    <w:link w:val="766"/>
    <w:uiPriority w:val="9"/>
    <w:rPr>
      <w:rFonts w:ascii="Arial" w:hAnsi="Arial" w:eastAsia="Arial" w:cs="Arial"/>
      <w:i/>
      <w:iCs/>
      <w:sz w:val="21"/>
      <w:szCs w:val="21"/>
    </w:rPr>
  </w:style>
  <w:style w:type="paragraph" w:styleId="747">
    <w:name w:val="List Paragraph"/>
    <w:basedOn w:val="757"/>
    <w:uiPriority w:val="34"/>
    <w:qFormat/>
    <w:pPr>
      <w:contextualSpacing/>
      <w:ind w:left="720"/>
    </w:pPr>
  </w:style>
  <w:style w:type="paragraph" w:styleId="748">
    <w:name w:val="No Spacing"/>
    <w:uiPriority w:val="1"/>
    <w:qFormat/>
    <w:pPr>
      <w:spacing w:before="0" w:after="0" w:line="240" w:lineRule="auto"/>
    </w:pPr>
  </w:style>
  <w:style w:type="character" w:styleId="749">
    <w:name w:val="Title Char"/>
    <w:basedOn w:val="767"/>
    <w:link w:val="805"/>
    <w:uiPriority w:val="10"/>
    <w:rPr>
      <w:sz w:val="48"/>
      <w:szCs w:val="48"/>
    </w:rPr>
  </w:style>
  <w:style w:type="paragraph" w:styleId="750">
    <w:name w:val="Quote"/>
    <w:basedOn w:val="757"/>
    <w:next w:val="757"/>
    <w:link w:val="751"/>
    <w:uiPriority w:val="29"/>
    <w:qFormat/>
    <w:pPr>
      <w:ind w:left="720" w:right="720"/>
    </w:pPr>
    <w:rPr>
      <w:i/>
    </w:rPr>
  </w:style>
  <w:style w:type="character" w:styleId="751">
    <w:name w:val="Quote Char"/>
    <w:link w:val="750"/>
    <w:uiPriority w:val="29"/>
    <w:rPr>
      <w:i/>
    </w:rPr>
  </w:style>
  <w:style w:type="paragraph" w:styleId="752">
    <w:name w:val="Intense Quote"/>
    <w:basedOn w:val="757"/>
    <w:next w:val="757"/>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name w:val="Intense Quote Char"/>
    <w:link w:val="752"/>
    <w:uiPriority w:val="30"/>
    <w:rPr>
      <w:i/>
    </w:rPr>
  </w:style>
  <w:style w:type="character" w:styleId="754">
    <w:name w:val="Header Char"/>
    <w:basedOn w:val="767"/>
    <w:link w:val="790"/>
    <w:uiPriority w:val="99"/>
  </w:style>
  <w:style w:type="character" w:styleId="755">
    <w:name w:val="Footer Char"/>
    <w:basedOn w:val="767"/>
    <w:link w:val="788"/>
    <w:uiPriority w:val="99"/>
  </w:style>
  <w:style w:type="paragraph" w:styleId="756">
    <w:name w:val="TOC Heading"/>
    <w:uiPriority w:val="39"/>
    <w:unhideWhenUsed/>
  </w:style>
  <w:style w:type="paragraph" w:styleId="75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8">
    <w:name w:val="Heading 1"/>
    <w:basedOn w:val="757"/>
    <w:next w:val="757"/>
    <w:link w:val="867"/>
    <w:uiPriority w:val="0"/>
    <w:qFormat/>
    <w:pPr>
      <w:keepNext/>
      <w:outlineLvl w:val="0"/>
    </w:pPr>
    <w:rPr>
      <w:rFonts w:ascii="楷体_GB2312" w:eastAsia="楷体_GB2312"/>
      <w:sz w:val="28"/>
      <w:szCs w:val="20"/>
    </w:rPr>
  </w:style>
  <w:style w:type="paragraph" w:styleId="759">
    <w:name w:val="Heading 2"/>
    <w:basedOn w:val="757"/>
    <w:next w:val="769"/>
    <w:link w:val="868"/>
    <w:uiPriority w:val="0"/>
    <w:qFormat/>
    <w:pPr>
      <w:jc w:val="center"/>
      <w:keepLines/>
      <w:keepNext/>
      <w:spacing w:before="260" w:after="260" w:line="416" w:lineRule="auto"/>
      <w:outlineLvl w:val="1"/>
    </w:pPr>
    <w:rPr>
      <w:rFonts w:ascii="Arial" w:hAnsi="Arial" w:eastAsia="幼圆"/>
      <w:b/>
      <w:sz w:val="44"/>
      <w:szCs w:val="20"/>
    </w:rPr>
  </w:style>
  <w:style w:type="paragraph" w:styleId="760">
    <w:name w:val="Heading 3"/>
    <w:basedOn w:val="757"/>
    <w:next w:val="757"/>
    <w:link w:val="869"/>
    <w:uiPriority w:val="0"/>
    <w:qFormat/>
    <w:pPr>
      <w:keepLines/>
      <w:keepNext/>
      <w:spacing w:before="260" w:after="260" w:line="416" w:lineRule="auto"/>
      <w:outlineLvl w:val="2"/>
    </w:pPr>
    <w:rPr>
      <w:b/>
      <w:sz w:val="32"/>
      <w:szCs w:val="20"/>
    </w:rPr>
  </w:style>
  <w:style w:type="paragraph" w:styleId="761">
    <w:name w:val="Heading 4"/>
    <w:basedOn w:val="762"/>
    <w:next w:val="757"/>
    <w:link w:val="870"/>
    <w:uiPriority w:val="0"/>
    <w:qFormat/>
    <w:pPr>
      <w:keepLines/>
      <w:spacing w:before="280" w:after="290" w:line="376" w:lineRule="auto"/>
      <w:outlineLvl w:val="3"/>
    </w:pPr>
    <w:rPr>
      <w:rFonts w:ascii="Arial" w:hAnsi="Arial" w:eastAsia="黑体"/>
      <w:b w:val="0"/>
      <w:bCs w:val="0"/>
      <w:sz w:val="28"/>
      <w:szCs w:val="28"/>
    </w:rPr>
  </w:style>
  <w:style w:type="paragraph" w:styleId="762">
    <w:name w:val="Heading 5"/>
    <w:basedOn w:val="757"/>
    <w:next w:val="757"/>
    <w:link w:val="871"/>
    <w:uiPriority w:val="0"/>
    <w:qFormat/>
    <w:pPr>
      <w:keepNext/>
      <w:outlineLvl w:val="4"/>
    </w:pPr>
    <w:rPr>
      <w:rFonts w:ascii="宋体" w:hAnsi="宋体"/>
      <w:b/>
      <w:bCs/>
    </w:rPr>
  </w:style>
  <w:style w:type="paragraph" w:styleId="763">
    <w:name w:val="Heading 6"/>
    <w:basedOn w:val="757"/>
    <w:next w:val="757"/>
    <w:link w:val="872"/>
    <w:uiPriority w:val="0"/>
    <w:qFormat/>
    <w:pPr>
      <w:keepLines/>
      <w:keepNext/>
      <w:spacing w:before="240" w:after="64" w:line="317" w:lineRule="auto"/>
      <w:outlineLvl w:val="5"/>
    </w:pPr>
    <w:rPr>
      <w:rFonts w:ascii="Cambria" w:hAnsi="Cambria"/>
      <w:b/>
      <w:bCs/>
      <w:sz w:val="24"/>
    </w:rPr>
  </w:style>
  <w:style w:type="paragraph" w:styleId="764">
    <w:name w:val="Heading 7"/>
    <w:basedOn w:val="757"/>
    <w:next w:val="757"/>
    <w:link w:val="873"/>
    <w:uiPriority w:val="0"/>
    <w:qFormat/>
    <w:pPr>
      <w:keepLines/>
      <w:keepNext/>
      <w:spacing w:before="240" w:after="64" w:line="320" w:lineRule="auto"/>
      <w:outlineLvl w:val="6"/>
    </w:pPr>
    <w:rPr>
      <w:b/>
      <w:bCs/>
      <w:sz w:val="24"/>
    </w:rPr>
  </w:style>
  <w:style w:type="paragraph" w:styleId="765">
    <w:name w:val="Heading 8"/>
    <w:basedOn w:val="757"/>
    <w:next w:val="757"/>
    <w:link w:val="874"/>
    <w:uiPriority w:val="0"/>
    <w:qFormat/>
    <w:pPr>
      <w:keepLines/>
      <w:keepNext/>
      <w:spacing w:before="240" w:after="64" w:line="317" w:lineRule="auto"/>
      <w:outlineLvl w:val="7"/>
    </w:pPr>
    <w:rPr>
      <w:rFonts w:ascii="Cambria" w:hAnsi="Cambria"/>
      <w:sz w:val="24"/>
    </w:rPr>
  </w:style>
  <w:style w:type="paragraph" w:styleId="766">
    <w:name w:val="Heading 9"/>
    <w:basedOn w:val="757"/>
    <w:next w:val="757"/>
    <w:link w:val="875"/>
    <w:uiPriority w:val="0"/>
    <w:qFormat/>
    <w:pPr>
      <w:keepLines/>
      <w:keepNext/>
      <w:spacing w:before="240" w:after="64" w:line="317" w:lineRule="auto"/>
      <w:outlineLvl w:val="8"/>
    </w:pPr>
    <w:rPr>
      <w:rFonts w:ascii="Cambria" w:hAnsi="Cambria"/>
      <w:szCs w:val="21"/>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Normal Indent"/>
    <w:basedOn w:val="757"/>
    <w:link w:val="1023"/>
    <w:uiPriority w:val="0"/>
    <w:qFormat/>
    <w:pPr>
      <w:ind w:firstLine="420"/>
    </w:pPr>
    <w:rPr>
      <w:szCs w:val="20"/>
    </w:rPr>
  </w:style>
  <w:style w:type="paragraph" w:styleId="770">
    <w:name w:val="toc 7"/>
    <w:basedOn w:val="757"/>
    <w:next w:val="757"/>
    <w:uiPriority w:val="39"/>
    <w:qFormat/>
    <w:pPr>
      <w:ind w:left="1701"/>
      <w:spacing w:after="57"/>
    </w:pPr>
  </w:style>
  <w:style w:type="paragraph" w:styleId="771">
    <w:name w:val="Note Heading"/>
    <w:basedOn w:val="757"/>
    <w:next w:val="757"/>
    <w:link w:val="876"/>
    <w:uiPriority w:val="0"/>
    <w:qFormat/>
    <w:pPr>
      <w:jc w:val="center"/>
    </w:pPr>
    <w:rPr>
      <w:sz w:val="24"/>
      <w:szCs w:val="20"/>
    </w:rPr>
  </w:style>
  <w:style w:type="paragraph" w:styleId="772">
    <w:name w:val="Caption"/>
    <w:basedOn w:val="757"/>
    <w:next w:val="757"/>
    <w:uiPriority w:val="0"/>
    <w:qFormat/>
    <w:rPr>
      <w:rFonts w:ascii="Cambria" w:hAnsi="Cambria" w:eastAsia="黑体"/>
      <w:sz w:val="20"/>
      <w:szCs w:val="20"/>
    </w:rPr>
  </w:style>
  <w:style w:type="paragraph" w:styleId="773">
    <w:name w:val="Document Map"/>
    <w:basedOn w:val="757"/>
    <w:link w:val="877"/>
    <w:uiPriority w:val="99"/>
    <w:qFormat/>
    <w:pPr>
      <w:shd w:val="clear" w:color="auto" w:fill="000080"/>
    </w:pPr>
  </w:style>
  <w:style w:type="paragraph" w:styleId="774">
    <w:name w:val="annotation text"/>
    <w:basedOn w:val="757"/>
    <w:link w:val="878"/>
    <w:uiPriority w:val="0"/>
    <w:qFormat/>
    <w:pPr>
      <w:jc w:val="left"/>
    </w:pPr>
  </w:style>
  <w:style w:type="paragraph" w:styleId="775">
    <w:name w:val="Body Text 3"/>
    <w:basedOn w:val="757"/>
    <w:link w:val="879"/>
    <w:uiPriority w:val="0"/>
    <w:qFormat/>
    <w:rPr>
      <w:rFonts w:ascii="仿宋_GB2312" w:hAnsi="Arial" w:eastAsia="仿宋_GB2312"/>
      <w:sz w:val="32"/>
      <w:szCs w:val="20"/>
    </w:rPr>
  </w:style>
  <w:style w:type="paragraph" w:styleId="776">
    <w:name w:val="Body Text"/>
    <w:basedOn w:val="757"/>
    <w:next w:val="757"/>
    <w:link w:val="880"/>
    <w:uiPriority w:val="0"/>
    <w:qFormat/>
    <w:rPr>
      <w:rFonts w:ascii="楷体_GB2312" w:hAnsi="Arial" w:eastAsia="楷体_GB2312"/>
      <w:sz w:val="28"/>
      <w:szCs w:val="20"/>
    </w:rPr>
  </w:style>
  <w:style w:type="paragraph" w:styleId="777">
    <w:name w:val="Body Text Indent"/>
    <w:basedOn w:val="757"/>
    <w:link w:val="863"/>
    <w:uiPriority w:val="0"/>
    <w:qFormat/>
    <w:pPr>
      <w:ind w:left="420"/>
      <w:spacing w:after="120"/>
    </w:pPr>
  </w:style>
  <w:style w:type="paragraph" w:styleId="778">
    <w:name w:val="Block Text"/>
    <w:basedOn w:val="757"/>
    <w:uiPriority w:val="99"/>
    <w:qFormat/>
    <w:pPr>
      <w:ind w:left="1440" w:right="1440"/>
      <w:spacing w:after="120"/>
      <w:tabs>
        <w:tab w:val="left" w:pos="9000" w:leader="none"/>
      </w:tabs>
    </w:pPr>
  </w:style>
  <w:style w:type="paragraph" w:styleId="779">
    <w:name w:val="index 4"/>
    <w:basedOn w:val="757"/>
    <w:next w:val="757"/>
    <w:uiPriority w:val="0"/>
    <w:qFormat/>
    <w:pPr>
      <w:ind w:left="600"/>
    </w:pPr>
  </w:style>
  <w:style w:type="paragraph" w:styleId="780">
    <w:name w:val="toc 5"/>
    <w:basedOn w:val="757"/>
    <w:next w:val="757"/>
    <w:uiPriority w:val="39"/>
    <w:qFormat/>
    <w:pPr>
      <w:ind w:left="1134"/>
      <w:spacing w:after="57"/>
    </w:pPr>
  </w:style>
  <w:style w:type="paragraph" w:styleId="781">
    <w:name w:val="toc 3"/>
    <w:basedOn w:val="757"/>
    <w:next w:val="757"/>
    <w:uiPriority w:val="39"/>
    <w:qFormat/>
    <w:pPr>
      <w:ind w:left="567"/>
      <w:spacing w:after="57"/>
    </w:pPr>
  </w:style>
  <w:style w:type="paragraph" w:styleId="782">
    <w:name w:val="Plain Text"/>
    <w:basedOn w:val="757"/>
    <w:link w:val="881"/>
    <w:uiPriority w:val="0"/>
    <w:qFormat/>
    <w:rPr>
      <w:rFonts w:ascii="宋体" w:hAnsi="Courier New"/>
      <w:sz w:val="28"/>
    </w:rPr>
  </w:style>
  <w:style w:type="paragraph" w:styleId="783">
    <w:name w:val="toc 8"/>
    <w:basedOn w:val="757"/>
    <w:next w:val="757"/>
    <w:uiPriority w:val="39"/>
    <w:qFormat/>
    <w:pPr>
      <w:ind w:left="1984"/>
      <w:spacing w:after="57"/>
    </w:pPr>
  </w:style>
  <w:style w:type="paragraph" w:styleId="784">
    <w:name w:val="Date"/>
    <w:basedOn w:val="757"/>
    <w:next w:val="757"/>
    <w:link w:val="882"/>
    <w:uiPriority w:val="0"/>
    <w:qFormat/>
    <w:rPr>
      <w:sz w:val="24"/>
      <w:szCs w:val="20"/>
    </w:rPr>
  </w:style>
  <w:style w:type="paragraph" w:styleId="785">
    <w:name w:val="Body Text Indent 2"/>
    <w:basedOn w:val="757"/>
    <w:link w:val="883"/>
    <w:uiPriority w:val="0"/>
    <w:qFormat/>
    <w:pPr>
      <w:ind w:firstLine="560"/>
    </w:pPr>
    <w:rPr>
      <w:rFonts w:ascii="宋体" w:hAnsi="宋体"/>
      <w:sz w:val="28"/>
    </w:rPr>
  </w:style>
  <w:style w:type="paragraph" w:styleId="786">
    <w:name w:val="endnote text"/>
    <w:basedOn w:val="757"/>
    <w:link w:val="884"/>
    <w:uiPriority w:val="99"/>
    <w:qFormat/>
    <w:rPr>
      <w:sz w:val="20"/>
    </w:rPr>
  </w:style>
  <w:style w:type="paragraph" w:styleId="787">
    <w:name w:val="Balloon Text"/>
    <w:basedOn w:val="757"/>
    <w:link w:val="885"/>
    <w:uiPriority w:val="99"/>
    <w:qFormat/>
    <w:rPr>
      <w:sz w:val="18"/>
      <w:szCs w:val="18"/>
    </w:rPr>
  </w:style>
  <w:style w:type="paragraph" w:styleId="788">
    <w:name w:val="Footer"/>
    <w:basedOn w:val="757"/>
    <w:link w:val="866"/>
    <w:uiPriority w:val="99"/>
    <w:qFormat/>
    <w:pPr>
      <w:jc w:val="left"/>
      <w:tabs>
        <w:tab w:val="center" w:pos="4153" w:leader="none"/>
        <w:tab w:val="right" w:pos="8306" w:leader="none"/>
      </w:tabs>
    </w:pPr>
    <w:rPr>
      <w:sz w:val="18"/>
      <w:szCs w:val="18"/>
    </w:rPr>
  </w:style>
  <w:style w:type="paragraph" w:styleId="789">
    <w:name w:val="envelope return"/>
    <w:basedOn w:val="757"/>
    <w:uiPriority w:val="0"/>
    <w:qFormat/>
    <w:rPr>
      <w:rFonts w:ascii="Arial" w:hAnsi="Arial"/>
    </w:rPr>
  </w:style>
  <w:style w:type="paragraph" w:styleId="790">
    <w:name w:val="Header"/>
    <w:basedOn w:val="757"/>
    <w:link w:val="865"/>
    <w:uiPriority w:val="99"/>
    <w:qFormat/>
    <w:pPr>
      <w:jc w:val="center"/>
      <w:tabs>
        <w:tab w:val="center" w:pos="4153" w:leader="none"/>
        <w:tab w:val="right" w:pos="8306" w:leader="none"/>
      </w:tabs>
    </w:pPr>
    <w:rPr>
      <w:sz w:val="18"/>
      <w:szCs w:val="18"/>
    </w:rPr>
  </w:style>
  <w:style w:type="paragraph" w:styleId="791">
    <w:name w:val="toc 1"/>
    <w:basedOn w:val="757"/>
    <w:next w:val="757"/>
    <w:uiPriority w:val="39"/>
    <w:qFormat/>
    <w:pPr>
      <w:spacing w:after="57"/>
    </w:pPr>
  </w:style>
  <w:style w:type="paragraph" w:styleId="792">
    <w:name w:val="toc 4"/>
    <w:basedOn w:val="757"/>
    <w:next w:val="757"/>
    <w:uiPriority w:val="39"/>
    <w:qFormat/>
    <w:pPr>
      <w:ind w:left="850"/>
      <w:spacing w:after="57"/>
    </w:pPr>
  </w:style>
  <w:style w:type="paragraph" w:styleId="793">
    <w:name w:val="Subtitle"/>
    <w:basedOn w:val="757"/>
    <w:next w:val="757"/>
    <w:link w:val="886"/>
    <w:uiPriority w:val="0"/>
    <w:qFormat/>
    <w:pPr>
      <w:jc w:val="center"/>
      <w:spacing w:before="240" w:after="60" w:line="312" w:lineRule="auto"/>
      <w:outlineLvl w:val="1"/>
    </w:pPr>
    <w:rPr>
      <w:rFonts w:ascii="Cambria" w:hAnsi="Cambria"/>
      <w:b/>
      <w:bCs/>
      <w:sz w:val="32"/>
      <w:szCs w:val="32"/>
    </w:rPr>
  </w:style>
  <w:style w:type="paragraph" w:styleId="794">
    <w:name w:val="footnote text"/>
    <w:basedOn w:val="757"/>
    <w:next w:val="795"/>
    <w:link w:val="887"/>
    <w:uiPriority w:val="0"/>
    <w:qFormat/>
    <w:pPr>
      <w:jc w:val="left"/>
    </w:pPr>
    <w:rPr>
      <w:sz w:val="18"/>
      <w:szCs w:val="18"/>
    </w:rPr>
  </w:style>
  <w:style w:type="paragraph" w:styleId="795" w:customStyle="1">
    <w:name w:val="index 51"/>
    <w:basedOn w:val="757"/>
    <w:next w:val="757"/>
    <w:uiPriority w:val="0"/>
    <w:qFormat/>
    <w:pPr>
      <w:ind w:left="798"/>
      <w:jc w:val="left"/>
    </w:pPr>
    <w:rPr>
      <w:rFonts w:ascii="Calibri" w:hAnsi="Calibri"/>
    </w:rPr>
  </w:style>
  <w:style w:type="paragraph" w:styleId="796">
    <w:name w:val="toc 6"/>
    <w:basedOn w:val="757"/>
    <w:next w:val="757"/>
    <w:uiPriority w:val="39"/>
    <w:qFormat/>
    <w:pPr>
      <w:ind w:left="1417"/>
      <w:spacing w:after="57"/>
    </w:pPr>
  </w:style>
  <w:style w:type="paragraph" w:styleId="797">
    <w:name w:val="Body Text Indent 3"/>
    <w:basedOn w:val="757"/>
    <w:link w:val="888"/>
    <w:uiPriority w:val="0"/>
    <w:qFormat/>
    <w:pPr>
      <w:ind w:firstLine="523"/>
    </w:pPr>
    <w:rPr>
      <w:rFonts w:ascii="仿宋_GB2312" w:hAnsi="宋体" w:eastAsia="仿宋_GB2312"/>
      <w:sz w:val="24"/>
    </w:rPr>
  </w:style>
  <w:style w:type="paragraph" w:styleId="798">
    <w:name w:val="table of figures"/>
    <w:basedOn w:val="757"/>
    <w:next w:val="757"/>
    <w:uiPriority w:val="99"/>
    <w:qFormat/>
  </w:style>
  <w:style w:type="paragraph" w:styleId="799">
    <w:name w:val="toc 2"/>
    <w:basedOn w:val="757"/>
    <w:next w:val="757"/>
    <w:uiPriority w:val="39"/>
    <w:qFormat/>
    <w:pPr>
      <w:ind w:left="283"/>
      <w:spacing w:after="57"/>
    </w:pPr>
  </w:style>
  <w:style w:type="paragraph" w:styleId="800">
    <w:name w:val="toc 9"/>
    <w:basedOn w:val="757"/>
    <w:next w:val="757"/>
    <w:uiPriority w:val="39"/>
    <w:qFormat/>
    <w:pPr>
      <w:ind w:left="2268"/>
      <w:spacing w:after="57"/>
    </w:pPr>
  </w:style>
  <w:style w:type="paragraph" w:styleId="801">
    <w:name w:val="Body Text 2"/>
    <w:basedOn w:val="757"/>
    <w:link w:val="889"/>
    <w:uiPriority w:val="0"/>
    <w:qFormat/>
    <w:pPr>
      <w:jc w:val="center"/>
    </w:pPr>
    <w:rPr>
      <w:rFonts w:ascii="仿宋_GB2312" w:eastAsia="仿宋_GB2312"/>
      <w:sz w:val="44"/>
    </w:rPr>
  </w:style>
  <w:style w:type="paragraph" w:styleId="802">
    <w:name w:val="HTML Preformatted"/>
    <w:basedOn w:val="757"/>
    <w:link w:val="8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03">
    <w:name w:val="Normal (Web)"/>
    <w:basedOn w:val="757"/>
    <w:uiPriority w:val="0"/>
    <w:qFormat/>
    <w:pPr>
      <w:jc w:val="left"/>
      <w:spacing w:before="100" w:beforeAutospacing="1" w:after="100" w:afterAutospacing="1"/>
      <w:widowControl/>
    </w:pPr>
    <w:rPr>
      <w:rFonts w:ascii="宋体" w:hAnsi="宋体" w:cs="宋体"/>
      <w:sz w:val="24"/>
    </w:rPr>
  </w:style>
  <w:style w:type="paragraph" w:styleId="804">
    <w:name w:val="index 1"/>
    <w:basedOn w:val="757"/>
    <w:next w:val="757"/>
    <w:uiPriority w:val="0"/>
    <w:qFormat/>
    <w:rPr>
      <w:rFonts w:ascii="宋体" w:hAnsi="宋体"/>
      <w:szCs w:val="18"/>
    </w:rPr>
  </w:style>
  <w:style w:type="paragraph" w:styleId="805">
    <w:name w:val="Title"/>
    <w:basedOn w:val="757"/>
    <w:next w:val="757"/>
    <w:link w:val="891"/>
    <w:uiPriority w:val="0"/>
    <w:qFormat/>
    <w:pPr>
      <w:jc w:val="center"/>
      <w:spacing w:before="240" w:after="60"/>
      <w:outlineLvl w:val="0"/>
    </w:pPr>
    <w:rPr>
      <w:rFonts w:ascii="Cambria" w:hAnsi="Cambria"/>
      <w:b/>
      <w:bCs/>
      <w:sz w:val="32"/>
      <w:szCs w:val="32"/>
    </w:rPr>
  </w:style>
  <w:style w:type="paragraph" w:styleId="806">
    <w:name w:val="annotation subject"/>
    <w:basedOn w:val="774"/>
    <w:next w:val="774"/>
    <w:link w:val="892"/>
    <w:uiPriority w:val="0"/>
    <w:qFormat/>
    <w:rPr>
      <w:b/>
      <w:bCs/>
    </w:rPr>
  </w:style>
  <w:style w:type="paragraph" w:styleId="807">
    <w:name w:val="Body Text First Indent"/>
    <w:basedOn w:val="776"/>
    <w:link w:val="1156"/>
    <w:uiPriority w:val="99"/>
    <w:qFormat/>
    <w:pPr>
      <w:ind w:firstLine="420"/>
      <w:spacing w:after="120"/>
    </w:pPr>
    <w:rPr>
      <w:rFonts w:ascii="Times New Roman" w:hAnsi="Times New Roman" w:eastAsia="宋体"/>
      <w:sz w:val="21"/>
      <w:szCs w:val="24"/>
    </w:rPr>
  </w:style>
  <w:style w:type="paragraph" w:styleId="808">
    <w:name w:val="Body Text First Indent 2"/>
    <w:basedOn w:val="777"/>
    <w:link w:val="864"/>
    <w:uiPriority w:val="99"/>
    <w:qFormat/>
    <w:pPr>
      <w:ind w:firstLine="420"/>
    </w:pPr>
  </w:style>
  <w:style w:type="table" w:styleId="809">
    <w:name w:val="Table Grid"/>
    <w:basedOn w:val="76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Strong"/>
    <w:uiPriority w:val="22"/>
    <w:qFormat/>
    <w:rPr>
      <w:b/>
      <w:bCs/>
    </w:rPr>
  </w:style>
  <w:style w:type="character" w:styleId="811">
    <w:name w:val="endnote reference"/>
    <w:uiPriority w:val="99"/>
    <w:qFormat/>
    <w:rPr>
      <w:vertAlign w:val="superscript"/>
    </w:rPr>
  </w:style>
  <w:style w:type="character" w:styleId="812">
    <w:name w:val="page number"/>
    <w:uiPriority w:val="0"/>
    <w:qFormat/>
  </w:style>
  <w:style w:type="character" w:styleId="813">
    <w:name w:val="FollowedHyperlink"/>
    <w:uiPriority w:val="0"/>
    <w:qFormat/>
    <w:rPr>
      <w:color w:val="800080"/>
      <w:u w:val="single"/>
    </w:rPr>
  </w:style>
  <w:style w:type="character" w:styleId="814">
    <w:name w:val="Emphasis"/>
    <w:uiPriority w:val="0"/>
    <w:qFormat/>
    <w:rPr>
      <w:i/>
      <w:iCs/>
    </w:rPr>
  </w:style>
  <w:style w:type="character" w:styleId="815">
    <w:name w:val="Hyperlink"/>
    <w:uiPriority w:val="99"/>
    <w:qFormat/>
    <w:rPr>
      <w:color w:val="0000ff"/>
      <w:u w:val="single"/>
    </w:rPr>
  </w:style>
  <w:style w:type="character" w:styleId="816">
    <w:name w:val="annotation reference"/>
    <w:uiPriority w:val="0"/>
    <w:qFormat/>
    <w:rPr>
      <w:sz w:val="21"/>
      <w:szCs w:val="21"/>
    </w:rPr>
  </w:style>
  <w:style w:type="character" w:styleId="817">
    <w:name w:val="footnote reference"/>
    <w:uiPriority w:val="99"/>
    <w:qFormat/>
    <w:rPr>
      <w:vertAlign w:val="superscript"/>
    </w:rPr>
  </w:style>
  <w:style w:type="paragraph" w:styleId="818"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paragraph" w:styleId="819" w:customStyle="1">
    <w:name w:val="一级条标题"/>
    <w:basedOn w:val="820"/>
    <w:next w:val="821"/>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0" w:customStyle="1">
    <w:name w:val="章标题"/>
    <w:next w:val="757"/>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21" w:customStyle="1">
    <w:name w:val="段"/>
    <w:next w:val="757"/>
    <w:uiPriority w:val="0"/>
    <w:qFormat/>
    <w:pPr>
      <w:ind w:firstLine="200"/>
      <w:jc w:val="both"/>
      <w:widowControl w:val="off"/>
    </w:pPr>
    <w:rPr>
      <w:rFonts w:ascii="宋体" w:hAnsi="宋体" w:eastAsia="宋体" w:cs="宋体"/>
      <w:color w:val="000000"/>
      <w:sz w:val="21"/>
      <w:szCs w:val="21"/>
      <w:lang w:val="en-US" w:eastAsia="zh-CN" w:bidi="ar-SA"/>
    </w:rPr>
  </w:style>
  <w:style w:type="table" w:styleId="822" w:customStyle="1">
    <w:name w:val="Plain Table 1"/>
    <w:basedOn w:val="76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basedOn w:val="768"/>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basedOn w:val="76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basedOn w:val="76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basedOn w:val="76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basedOn w:val="768"/>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28" w:customStyle="1">
    <w:name w:val="Grid Table 2"/>
    <w:basedOn w:val="768"/>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29" w:customStyle="1">
    <w:name w:val="Grid Table 3"/>
    <w:basedOn w:val="768"/>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basedOn w:val="768"/>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1" w:customStyle="1">
    <w:name w:val="Grid Table 5 Dark"/>
    <w:basedOn w:val="76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2" w:customStyle="1">
    <w:name w:val="Grid Table 6 Colorful"/>
    <w:basedOn w:val="768"/>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33" w:customStyle="1">
    <w:name w:val="Grid Table 7 Colorful"/>
    <w:basedOn w:val="768"/>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34" w:customStyle="1">
    <w:name w:val="List Table 1 Light"/>
    <w:basedOn w:val="768"/>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5" w:customStyle="1">
    <w:name w:val="List Table 2"/>
    <w:basedOn w:val="768"/>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36" w:customStyle="1">
    <w:name w:val="List Table 3"/>
    <w:basedOn w:val="768"/>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7" w:customStyle="1">
    <w:name w:val="List Table 4"/>
    <w:basedOn w:val="76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8" w:customStyle="1">
    <w:name w:val="List Table 5 Dark"/>
    <w:basedOn w:val="768"/>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39" w:customStyle="1">
    <w:name w:val="List Table 6 Colorful"/>
    <w:basedOn w:val="768"/>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40" w:customStyle="1">
    <w:name w:val="List Table 7 Colorful"/>
    <w:basedOn w:val="768"/>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paragraph" w:styleId="841" w:customStyle="1">
    <w:name w:val="TOC Heading_92876d59-86a8-4e49-b62e-8ef0929e6a3d"/>
    <w:uiPriority w:val="39"/>
    <w:qFormat/>
    <w:rPr>
      <w:rFonts w:ascii="Times New Roman" w:hAnsi="Times New Roman" w:eastAsia="宋体" w:cs="Times New Roman"/>
      <w:lang w:val="en-US" w:eastAsia="zh-CN" w:bidi="ar-SA"/>
    </w:rPr>
  </w:style>
  <w:style w:type="table" w:styleId="842" w:customStyle="1">
    <w:name w:val="无格式表格 11"/>
    <w:basedOn w:val="76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21"/>
    <w:basedOn w:val="768"/>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31"/>
    <w:basedOn w:val="768"/>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无格式表格 41"/>
    <w:basedOn w:val="768"/>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无格式表格 51"/>
    <w:basedOn w:val="768"/>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网格表 1 浅色1"/>
    <w:basedOn w:val="76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48" w:customStyle="1">
    <w:name w:val="网格表 21"/>
    <w:basedOn w:val="768"/>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49" w:customStyle="1">
    <w:name w:val="网格表 31"/>
    <w:basedOn w:val="768"/>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basedOn w:val="76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51" w:customStyle="1">
    <w:name w:val="网格表 5 深色1"/>
    <w:basedOn w:val="76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52" w:customStyle="1">
    <w:name w:val="网格表 6 彩色1"/>
    <w:basedOn w:val="76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53" w:customStyle="1">
    <w:name w:val="网格表 7 彩色1"/>
    <w:basedOn w:val="768"/>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54" w:customStyle="1">
    <w:name w:val="清单表 1 浅色1"/>
    <w:basedOn w:val="768"/>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55" w:customStyle="1">
    <w:name w:val="清单表 21"/>
    <w:basedOn w:val="768"/>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56" w:customStyle="1">
    <w:name w:val="清单表 31"/>
    <w:basedOn w:val="768"/>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7" w:customStyle="1">
    <w:name w:val="清单表 41"/>
    <w:basedOn w:val="76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8" w:customStyle="1">
    <w:name w:val="清单表 5 深色1"/>
    <w:basedOn w:val="768"/>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59" w:customStyle="1">
    <w:name w:val="清单表 6 彩色1"/>
    <w:basedOn w:val="768"/>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60" w:customStyle="1">
    <w:name w:val="清单表 7 彩色1"/>
    <w:basedOn w:val="768"/>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861" w:customStyle="1">
    <w:name w:val="Endnote Text Char"/>
    <w:uiPriority w:val="99"/>
    <w:qFormat/>
    <w:rPr>
      <w:sz w:val="20"/>
    </w:rPr>
  </w:style>
  <w:style w:type="paragraph" w:styleId="862" w:customStyle="1">
    <w:name w:val="TOC 标题1"/>
    <w:uiPriority w:val="39"/>
    <w:qFormat/>
    <w:rPr>
      <w:rFonts w:ascii="Times New Roman" w:hAnsi="Times New Roman" w:eastAsia="宋体" w:cs="Times New Roman"/>
      <w:lang w:val="en-US" w:eastAsia="zh-CN" w:bidi="ar-SA"/>
    </w:rPr>
  </w:style>
  <w:style w:type="character" w:styleId="863" w:customStyle="1">
    <w:name w:val="正文文本缩进 Char"/>
    <w:basedOn w:val="767"/>
    <w:link w:val="777"/>
    <w:uiPriority w:val="0"/>
    <w:qFormat/>
    <w:rPr>
      <w:rFonts w:ascii="Times New Roman" w:hAnsi="Times New Roman" w:eastAsia="宋体" w:cs="Times New Roman"/>
      <w:szCs w:val="24"/>
    </w:rPr>
  </w:style>
  <w:style w:type="character" w:styleId="864" w:customStyle="1">
    <w:name w:val="正文首行缩进 2 Char"/>
    <w:basedOn w:val="863"/>
    <w:link w:val="808"/>
    <w:uiPriority w:val="99"/>
    <w:qFormat/>
    <w:rPr>
      <w:rFonts w:ascii="Times New Roman" w:hAnsi="Times New Roman" w:eastAsia="宋体" w:cs="Times New Roman"/>
      <w:szCs w:val="24"/>
    </w:rPr>
  </w:style>
  <w:style w:type="character" w:styleId="865" w:customStyle="1">
    <w:name w:val="页眉 Char"/>
    <w:basedOn w:val="767"/>
    <w:link w:val="790"/>
    <w:uiPriority w:val="99"/>
    <w:qFormat/>
    <w:rPr>
      <w:rFonts w:ascii="Times New Roman" w:hAnsi="Times New Roman" w:eastAsia="宋体" w:cs="Times New Roman"/>
      <w:sz w:val="18"/>
      <w:szCs w:val="18"/>
    </w:rPr>
  </w:style>
  <w:style w:type="character" w:styleId="866" w:customStyle="1">
    <w:name w:val="页脚 Char"/>
    <w:basedOn w:val="767"/>
    <w:link w:val="788"/>
    <w:uiPriority w:val="99"/>
    <w:qFormat/>
    <w:rPr>
      <w:rFonts w:ascii="Times New Roman" w:hAnsi="Times New Roman" w:eastAsia="宋体" w:cs="Times New Roman"/>
      <w:sz w:val="18"/>
      <w:szCs w:val="18"/>
    </w:rPr>
  </w:style>
  <w:style w:type="character" w:styleId="867" w:customStyle="1">
    <w:name w:val="标题 1 Char"/>
    <w:basedOn w:val="767"/>
    <w:link w:val="758"/>
    <w:uiPriority w:val="0"/>
    <w:qFormat/>
    <w:rPr>
      <w:rFonts w:ascii="楷体_GB2312" w:hAnsi="Times New Roman" w:eastAsia="楷体_GB2312" w:cs="Times New Roman"/>
      <w:sz w:val="28"/>
      <w:szCs w:val="20"/>
    </w:rPr>
  </w:style>
  <w:style w:type="character" w:styleId="868" w:customStyle="1">
    <w:name w:val="标题 2 Char"/>
    <w:basedOn w:val="767"/>
    <w:link w:val="759"/>
    <w:uiPriority w:val="0"/>
    <w:qFormat/>
    <w:rPr>
      <w:rFonts w:ascii="Arial" w:hAnsi="Arial" w:eastAsia="幼圆" w:cs="Times New Roman"/>
      <w:b/>
      <w:sz w:val="44"/>
      <w:szCs w:val="20"/>
    </w:rPr>
  </w:style>
  <w:style w:type="character" w:styleId="869" w:customStyle="1">
    <w:name w:val="标题 3 Char"/>
    <w:basedOn w:val="767"/>
    <w:link w:val="760"/>
    <w:uiPriority w:val="0"/>
    <w:qFormat/>
    <w:rPr>
      <w:rFonts w:ascii="Times New Roman" w:hAnsi="Times New Roman" w:eastAsia="宋体" w:cs="Times New Roman"/>
      <w:b/>
      <w:sz w:val="32"/>
      <w:szCs w:val="20"/>
    </w:rPr>
  </w:style>
  <w:style w:type="character" w:styleId="870" w:customStyle="1">
    <w:name w:val="标题 4 Char"/>
    <w:basedOn w:val="767"/>
    <w:link w:val="761"/>
    <w:uiPriority w:val="0"/>
    <w:qFormat/>
    <w:rPr>
      <w:rFonts w:ascii="Arial" w:hAnsi="Arial" w:eastAsia="黑体" w:cs="Times New Roman"/>
      <w:sz w:val="28"/>
      <w:szCs w:val="28"/>
    </w:rPr>
  </w:style>
  <w:style w:type="character" w:styleId="871" w:customStyle="1">
    <w:name w:val="标题 5 Char"/>
    <w:basedOn w:val="767"/>
    <w:link w:val="762"/>
    <w:uiPriority w:val="0"/>
    <w:qFormat/>
    <w:rPr>
      <w:rFonts w:ascii="宋体" w:hAnsi="宋体" w:eastAsia="宋体" w:cs="Times New Roman"/>
      <w:b/>
      <w:bCs/>
      <w:szCs w:val="24"/>
    </w:rPr>
  </w:style>
  <w:style w:type="character" w:styleId="872" w:customStyle="1">
    <w:name w:val="标题 6 Char"/>
    <w:basedOn w:val="767"/>
    <w:link w:val="763"/>
    <w:uiPriority w:val="0"/>
    <w:qFormat/>
    <w:rPr>
      <w:rFonts w:ascii="Cambria" w:hAnsi="Cambria" w:eastAsia="宋体" w:cs="Times New Roman"/>
      <w:b/>
      <w:bCs/>
      <w:sz w:val="24"/>
      <w:szCs w:val="24"/>
    </w:rPr>
  </w:style>
  <w:style w:type="character" w:styleId="873" w:customStyle="1">
    <w:name w:val="标题 7 Char"/>
    <w:basedOn w:val="767"/>
    <w:link w:val="764"/>
    <w:uiPriority w:val="0"/>
    <w:qFormat/>
    <w:rPr>
      <w:rFonts w:ascii="Times New Roman" w:hAnsi="Times New Roman" w:eastAsia="宋体" w:cs="Times New Roman"/>
      <w:b/>
      <w:bCs/>
      <w:sz w:val="24"/>
      <w:szCs w:val="24"/>
    </w:rPr>
  </w:style>
  <w:style w:type="character" w:styleId="874" w:customStyle="1">
    <w:name w:val="标题 8 Char"/>
    <w:basedOn w:val="767"/>
    <w:link w:val="765"/>
    <w:uiPriority w:val="0"/>
    <w:qFormat/>
    <w:rPr>
      <w:rFonts w:ascii="Cambria" w:hAnsi="Cambria" w:eastAsia="宋体" w:cs="Times New Roman"/>
      <w:sz w:val="24"/>
      <w:szCs w:val="24"/>
    </w:rPr>
  </w:style>
  <w:style w:type="character" w:styleId="875" w:customStyle="1">
    <w:name w:val="标题 9 Char"/>
    <w:basedOn w:val="767"/>
    <w:link w:val="766"/>
    <w:uiPriority w:val="0"/>
    <w:qFormat/>
    <w:rPr>
      <w:rFonts w:ascii="Cambria" w:hAnsi="Cambria" w:eastAsia="宋体" w:cs="Times New Roman"/>
      <w:szCs w:val="21"/>
    </w:rPr>
  </w:style>
  <w:style w:type="character" w:styleId="876" w:customStyle="1">
    <w:name w:val="注释标题 Char"/>
    <w:basedOn w:val="767"/>
    <w:link w:val="771"/>
    <w:uiPriority w:val="0"/>
    <w:qFormat/>
    <w:rPr>
      <w:rFonts w:ascii="Times New Roman" w:hAnsi="Times New Roman" w:eastAsia="宋体" w:cs="Times New Roman"/>
      <w:sz w:val="24"/>
      <w:szCs w:val="20"/>
    </w:rPr>
  </w:style>
  <w:style w:type="character" w:styleId="877" w:customStyle="1">
    <w:name w:val="文档结构图 Char"/>
    <w:basedOn w:val="767"/>
    <w:link w:val="773"/>
    <w:uiPriority w:val="99"/>
    <w:qFormat/>
    <w:rPr>
      <w:rFonts w:ascii="Times New Roman" w:hAnsi="Times New Roman" w:eastAsia="宋体" w:cs="Times New Roman"/>
      <w:szCs w:val="24"/>
      <w:shd w:val="clear" w:color="auto" w:fill="000080"/>
    </w:rPr>
  </w:style>
  <w:style w:type="character" w:styleId="878" w:customStyle="1">
    <w:name w:val="批注文字 Char"/>
    <w:basedOn w:val="767"/>
    <w:link w:val="774"/>
    <w:uiPriority w:val="0"/>
    <w:qFormat/>
    <w:rPr>
      <w:rFonts w:ascii="Times New Roman" w:hAnsi="Times New Roman" w:eastAsia="宋体" w:cs="Times New Roman"/>
      <w:szCs w:val="24"/>
    </w:rPr>
  </w:style>
  <w:style w:type="character" w:styleId="879" w:customStyle="1">
    <w:name w:val="正文文本 3 Char"/>
    <w:basedOn w:val="767"/>
    <w:link w:val="775"/>
    <w:uiPriority w:val="0"/>
    <w:qFormat/>
    <w:rPr>
      <w:rFonts w:ascii="仿宋_GB2312" w:hAnsi="Arial" w:eastAsia="仿宋_GB2312" w:cs="Times New Roman"/>
      <w:sz w:val="32"/>
      <w:szCs w:val="20"/>
    </w:rPr>
  </w:style>
  <w:style w:type="character" w:styleId="880" w:customStyle="1">
    <w:name w:val="正文文本 Char"/>
    <w:basedOn w:val="767"/>
    <w:link w:val="776"/>
    <w:uiPriority w:val="0"/>
    <w:qFormat/>
    <w:rPr>
      <w:rFonts w:ascii="楷体_GB2312" w:hAnsi="Arial" w:eastAsia="楷体_GB2312" w:cs="Times New Roman"/>
      <w:sz w:val="28"/>
      <w:szCs w:val="20"/>
    </w:rPr>
  </w:style>
  <w:style w:type="character" w:styleId="881" w:customStyle="1">
    <w:name w:val="纯文本 Char"/>
    <w:basedOn w:val="767"/>
    <w:link w:val="782"/>
    <w:uiPriority w:val="0"/>
    <w:qFormat/>
    <w:rPr>
      <w:rFonts w:ascii="宋体" w:hAnsi="Courier New" w:eastAsia="宋体" w:cs="Times New Roman"/>
      <w:sz w:val="28"/>
      <w:szCs w:val="24"/>
    </w:rPr>
  </w:style>
  <w:style w:type="character" w:styleId="882" w:customStyle="1">
    <w:name w:val="日期 Char"/>
    <w:basedOn w:val="767"/>
    <w:link w:val="784"/>
    <w:uiPriority w:val="0"/>
    <w:qFormat/>
    <w:rPr>
      <w:rFonts w:ascii="Times New Roman" w:hAnsi="Times New Roman" w:eastAsia="宋体" w:cs="Times New Roman"/>
      <w:sz w:val="24"/>
      <w:szCs w:val="20"/>
    </w:rPr>
  </w:style>
  <w:style w:type="character" w:styleId="883" w:customStyle="1">
    <w:name w:val="正文文本缩进 2 Char"/>
    <w:basedOn w:val="767"/>
    <w:link w:val="785"/>
    <w:uiPriority w:val="0"/>
    <w:qFormat/>
    <w:rPr>
      <w:rFonts w:ascii="宋体" w:hAnsi="宋体" w:eastAsia="宋体" w:cs="Times New Roman"/>
      <w:sz w:val="28"/>
      <w:szCs w:val="24"/>
    </w:rPr>
  </w:style>
  <w:style w:type="character" w:styleId="884" w:customStyle="1">
    <w:name w:val="尾注文本 Char"/>
    <w:basedOn w:val="767"/>
    <w:link w:val="786"/>
    <w:uiPriority w:val="99"/>
    <w:qFormat/>
    <w:rPr>
      <w:rFonts w:ascii="Times New Roman" w:hAnsi="Times New Roman" w:eastAsia="宋体" w:cs="Times New Roman"/>
      <w:sz w:val="20"/>
      <w:szCs w:val="24"/>
    </w:rPr>
  </w:style>
  <w:style w:type="character" w:styleId="885" w:customStyle="1">
    <w:name w:val="批注框文本 Char"/>
    <w:basedOn w:val="767"/>
    <w:link w:val="787"/>
    <w:uiPriority w:val="99"/>
    <w:qFormat/>
    <w:rPr>
      <w:rFonts w:ascii="Times New Roman" w:hAnsi="Times New Roman" w:eastAsia="宋体" w:cs="Times New Roman"/>
      <w:sz w:val="18"/>
      <w:szCs w:val="18"/>
    </w:rPr>
  </w:style>
  <w:style w:type="character" w:styleId="886" w:customStyle="1">
    <w:name w:val="副标题 Char"/>
    <w:basedOn w:val="767"/>
    <w:link w:val="793"/>
    <w:uiPriority w:val="0"/>
    <w:qFormat/>
    <w:rPr>
      <w:rFonts w:ascii="Cambria" w:hAnsi="Cambria" w:eastAsia="宋体" w:cs="Times New Roman"/>
      <w:b/>
      <w:bCs/>
      <w:sz w:val="32"/>
      <w:szCs w:val="32"/>
    </w:rPr>
  </w:style>
  <w:style w:type="character" w:styleId="887" w:customStyle="1">
    <w:name w:val="脚注文本 Char"/>
    <w:basedOn w:val="767"/>
    <w:link w:val="794"/>
    <w:uiPriority w:val="0"/>
    <w:qFormat/>
    <w:rPr>
      <w:rFonts w:ascii="Times New Roman" w:hAnsi="Times New Roman" w:eastAsia="宋体" w:cs="Times New Roman"/>
      <w:sz w:val="18"/>
      <w:szCs w:val="18"/>
    </w:rPr>
  </w:style>
  <w:style w:type="character" w:styleId="888" w:customStyle="1">
    <w:name w:val="正文文本缩进 3 Char"/>
    <w:basedOn w:val="767"/>
    <w:link w:val="797"/>
    <w:uiPriority w:val="0"/>
    <w:qFormat/>
    <w:rPr>
      <w:rFonts w:ascii="仿宋_GB2312" w:hAnsi="宋体" w:eastAsia="仿宋_GB2312" w:cs="Times New Roman"/>
      <w:sz w:val="24"/>
      <w:szCs w:val="24"/>
    </w:rPr>
  </w:style>
  <w:style w:type="character" w:styleId="889" w:customStyle="1">
    <w:name w:val="正文文本 2 Char"/>
    <w:basedOn w:val="767"/>
    <w:link w:val="801"/>
    <w:uiPriority w:val="0"/>
    <w:qFormat/>
    <w:rPr>
      <w:rFonts w:ascii="仿宋_GB2312" w:hAnsi="Times New Roman" w:eastAsia="仿宋_GB2312" w:cs="Times New Roman"/>
      <w:sz w:val="44"/>
      <w:szCs w:val="24"/>
    </w:rPr>
  </w:style>
  <w:style w:type="character" w:styleId="890" w:customStyle="1">
    <w:name w:val="HTML 预设格式 Char"/>
    <w:basedOn w:val="767"/>
    <w:link w:val="802"/>
    <w:uiPriority w:val="0"/>
    <w:qFormat/>
    <w:rPr>
      <w:rFonts w:ascii="黑体" w:hAnsi="Courier New" w:eastAsia="黑体" w:cs="Times New Roman"/>
      <w:sz w:val="20"/>
      <w:szCs w:val="20"/>
    </w:rPr>
  </w:style>
  <w:style w:type="character" w:styleId="891" w:customStyle="1">
    <w:name w:val="标题 Char"/>
    <w:basedOn w:val="767"/>
    <w:link w:val="805"/>
    <w:uiPriority w:val="0"/>
    <w:qFormat/>
    <w:rPr>
      <w:rFonts w:ascii="Cambria" w:hAnsi="Cambria" w:eastAsia="宋体" w:cs="Times New Roman"/>
      <w:b/>
      <w:bCs/>
      <w:sz w:val="32"/>
      <w:szCs w:val="32"/>
    </w:rPr>
  </w:style>
  <w:style w:type="character" w:styleId="892" w:customStyle="1">
    <w:name w:val="批注主题 Char"/>
    <w:basedOn w:val="878"/>
    <w:link w:val="806"/>
    <w:uiPriority w:val="0"/>
    <w:qFormat/>
    <w:rPr>
      <w:rFonts w:ascii="Times New Roman" w:hAnsi="Times New Roman" w:eastAsia="宋体" w:cs="Times New Roman"/>
      <w:b/>
      <w:bCs/>
      <w:szCs w:val="24"/>
    </w:rPr>
  </w:style>
  <w:style w:type="character" w:styleId="893" w:customStyle="1">
    <w:name w:val="Heading 1 Char_0ef1df6c-f9fb-42db-a6f5-7a5e0200dc2b"/>
    <w:link w:val="894"/>
    <w:uiPriority w:val="9"/>
    <w:qFormat/>
    <w:rPr>
      <w:rFonts w:ascii="Arial" w:hAnsi="Arial" w:eastAsia="Arial" w:cs="Arial"/>
      <w:sz w:val="40"/>
      <w:szCs w:val="40"/>
    </w:rPr>
  </w:style>
  <w:style w:type="paragraph" w:styleId="894" w:customStyle="1">
    <w:name w:val="标题 11"/>
    <w:basedOn w:val="757"/>
    <w:next w:val="757"/>
    <w:link w:val="893"/>
    <w:uiPriority w:val="9"/>
    <w:qFormat/>
    <w:pPr>
      <w:keepLines/>
      <w:keepNext/>
      <w:spacing w:before="480" w:after="200"/>
      <w:outlineLvl w:val="0"/>
    </w:pPr>
    <w:rPr>
      <w:rFonts w:ascii="Arial" w:hAnsi="Arial" w:eastAsia="Arial" w:cs="Arial"/>
      <w:sz w:val="40"/>
      <w:szCs w:val="40"/>
    </w:rPr>
  </w:style>
  <w:style w:type="character" w:styleId="895" w:customStyle="1">
    <w:name w:val="Heading 2 Char_326f6a97-cb60-4925-a8f3-a9338d97863b"/>
    <w:uiPriority w:val="9"/>
    <w:qFormat/>
    <w:rPr>
      <w:rFonts w:ascii="Arial" w:hAnsi="Arial" w:eastAsia="Arial" w:cs="Arial"/>
      <w:sz w:val="34"/>
    </w:rPr>
  </w:style>
  <w:style w:type="character" w:styleId="896" w:customStyle="1">
    <w:name w:val="Heading 3 Char_be888f41-37b2-40bb-a89f-f0271e9f72a6"/>
    <w:uiPriority w:val="9"/>
    <w:qFormat/>
    <w:rPr>
      <w:rFonts w:ascii="Arial" w:hAnsi="Arial" w:eastAsia="Arial" w:cs="Arial"/>
      <w:sz w:val="30"/>
      <w:szCs w:val="30"/>
    </w:rPr>
  </w:style>
  <w:style w:type="character" w:styleId="897" w:customStyle="1">
    <w:name w:val="Heading 4 Char_acd2472e-f5ae-4004-b009-d746f2a4502f"/>
    <w:uiPriority w:val="9"/>
    <w:qFormat/>
    <w:rPr>
      <w:rFonts w:ascii="Arial" w:hAnsi="Arial" w:eastAsia="Arial" w:cs="Arial"/>
      <w:b/>
      <w:bCs/>
      <w:sz w:val="26"/>
      <w:szCs w:val="26"/>
    </w:rPr>
  </w:style>
  <w:style w:type="character" w:styleId="898" w:customStyle="1">
    <w:name w:val="Heading 5 Char_816d27e7-d8d6-4b46-9f6a-2a855243fb07"/>
    <w:uiPriority w:val="9"/>
    <w:qFormat/>
    <w:rPr>
      <w:rFonts w:ascii="Arial" w:hAnsi="Arial" w:eastAsia="Arial" w:cs="Arial"/>
      <w:b/>
      <w:bCs/>
      <w:sz w:val="24"/>
      <w:szCs w:val="24"/>
    </w:rPr>
  </w:style>
  <w:style w:type="character" w:styleId="899" w:customStyle="1">
    <w:name w:val="Heading 6 Char_f3ae4f83-2e25-46d6-8338-828c3fbbef93"/>
    <w:uiPriority w:val="9"/>
    <w:qFormat/>
    <w:rPr>
      <w:rFonts w:ascii="Arial" w:hAnsi="Arial" w:eastAsia="Arial" w:cs="Arial"/>
      <w:b/>
      <w:bCs/>
      <w:sz w:val="22"/>
      <w:szCs w:val="22"/>
    </w:rPr>
  </w:style>
  <w:style w:type="character" w:styleId="900" w:customStyle="1">
    <w:name w:val="Heading 7 Char_ad072c8e-0c94-4db6-8e60-1d20ca45703a"/>
    <w:uiPriority w:val="9"/>
    <w:qFormat/>
    <w:rPr>
      <w:rFonts w:ascii="Arial" w:hAnsi="Arial" w:eastAsia="Arial" w:cs="Arial"/>
      <w:b/>
      <w:bCs/>
      <w:i/>
      <w:iCs/>
      <w:sz w:val="22"/>
      <w:szCs w:val="22"/>
    </w:rPr>
  </w:style>
  <w:style w:type="character" w:styleId="901" w:customStyle="1">
    <w:name w:val="Heading 8 Char_69cafa55-b551-4c40-a756-28ab8f0eb5b2"/>
    <w:uiPriority w:val="9"/>
    <w:qFormat/>
    <w:rPr>
      <w:rFonts w:ascii="Arial" w:hAnsi="Arial" w:eastAsia="Arial" w:cs="Arial"/>
      <w:i/>
      <w:iCs/>
      <w:sz w:val="22"/>
      <w:szCs w:val="22"/>
    </w:rPr>
  </w:style>
  <w:style w:type="character" w:styleId="902" w:customStyle="1">
    <w:name w:val="Heading 9 Char_55482891-f4b3-4501-8952-ad9405618514"/>
    <w:uiPriority w:val="9"/>
    <w:qFormat/>
    <w:rPr>
      <w:rFonts w:ascii="Arial" w:hAnsi="Arial" w:eastAsia="Arial" w:cs="Arial"/>
      <w:i/>
      <w:iCs/>
      <w:sz w:val="21"/>
      <w:szCs w:val="21"/>
    </w:rPr>
  </w:style>
  <w:style w:type="paragraph" w:styleId="903" w:customStyle="1">
    <w:name w:val="No Spacing_ef550fb9-70d2-46de-a958-a920bb80bcfb"/>
    <w:uiPriority w:val="0"/>
    <w:qFormat/>
    <w:pPr>
      <w:jc w:val="both"/>
      <w:widowControl w:val="off"/>
    </w:pPr>
    <w:rPr>
      <w:rFonts w:ascii="Calibri" w:hAnsi="Calibri" w:eastAsia="宋体" w:cs="Times New Roman"/>
      <w:sz w:val="21"/>
      <w:szCs w:val="22"/>
      <w:lang w:val="en-US" w:eastAsia="zh-CN" w:bidi="ar-SA"/>
    </w:rPr>
  </w:style>
  <w:style w:type="character" w:styleId="904" w:customStyle="1">
    <w:name w:val="Title Char_ba1598b5-54ff-4ae1-9e0b-c2e9d5c2d325"/>
    <w:uiPriority w:val="10"/>
    <w:qFormat/>
    <w:rPr>
      <w:sz w:val="48"/>
      <w:szCs w:val="48"/>
    </w:rPr>
  </w:style>
  <w:style w:type="character" w:styleId="905" w:customStyle="1">
    <w:name w:val="Subtitle Char"/>
    <w:uiPriority w:val="11"/>
    <w:qFormat/>
    <w:rPr>
      <w:sz w:val="24"/>
      <w:szCs w:val="24"/>
    </w:rPr>
  </w:style>
  <w:style w:type="paragraph" w:styleId="906" w:customStyle="1">
    <w:name w:val="Quote_b3826546-7311-4196-94d6-cddfe1aaaed3"/>
    <w:basedOn w:val="757"/>
    <w:next w:val="757"/>
    <w:link w:val="907"/>
    <w:uiPriority w:val="99"/>
    <w:qFormat/>
    <w:rPr>
      <w:i/>
      <w:iCs/>
      <w:color w:val="000000"/>
    </w:rPr>
  </w:style>
  <w:style w:type="character" w:styleId="907" w:customStyle="1">
    <w:name w:val="引用 字符"/>
    <w:basedOn w:val="767"/>
    <w:link w:val="906"/>
    <w:uiPriority w:val="99"/>
    <w:qFormat/>
    <w:rPr>
      <w:rFonts w:ascii="Times New Roman" w:hAnsi="Times New Roman" w:eastAsia="宋体" w:cs="Times New Roman"/>
      <w:i/>
      <w:iCs/>
      <w:color w:val="000000"/>
      <w:szCs w:val="24"/>
    </w:rPr>
  </w:style>
  <w:style w:type="character" w:styleId="908" w:customStyle="1">
    <w:name w:val="Quote Char_279b3a9e-53f4-452e-98a0-961a5424eae9"/>
    <w:uiPriority w:val="29"/>
    <w:qFormat/>
    <w:rPr>
      <w:i/>
    </w:rPr>
  </w:style>
  <w:style w:type="paragraph" w:styleId="909" w:customStyle="1">
    <w:name w:val="Intense Quote_fb1af9ba-845c-4ecc-a767-03e0c3229cfe"/>
    <w:basedOn w:val="757"/>
    <w:next w:val="757"/>
    <w:link w:val="910"/>
    <w:uiPriority w:val="99"/>
    <w:qFormat/>
    <w:pPr>
      <w:ind w:left="936" w:right="936"/>
      <w:spacing w:before="200" w:after="280"/>
      <w:pBdr>
        <w:bottom w:val="single" w:color="4F81BD" w:sz="4" w:space="4"/>
      </w:pBdr>
    </w:pPr>
    <w:rPr>
      <w:b/>
      <w:bCs/>
      <w:i/>
      <w:iCs/>
      <w:color w:val="4f81bd"/>
    </w:rPr>
  </w:style>
  <w:style w:type="character" w:styleId="910" w:customStyle="1">
    <w:name w:val="明显引用 字符"/>
    <w:basedOn w:val="767"/>
    <w:link w:val="909"/>
    <w:uiPriority w:val="99"/>
    <w:qFormat/>
    <w:rPr>
      <w:rFonts w:ascii="Times New Roman" w:hAnsi="Times New Roman" w:eastAsia="宋体" w:cs="Times New Roman"/>
      <w:b/>
      <w:bCs/>
      <w:i/>
      <w:iCs/>
      <w:color w:val="4f81bd"/>
      <w:szCs w:val="24"/>
    </w:rPr>
  </w:style>
  <w:style w:type="character" w:styleId="911" w:customStyle="1">
    <w:name w:val="Intense Quote Char_2cc624a2-3e7d-43cd-b7c5-e85ff3c5012d"/>
    <w:uiPriority w:val="30"/>
    <w:qFormat/>
    <w:rPr>
      <w:i/>
    </w:rPr>
  </w:style>
  <w:style w:type="character" w:styleId="912" w:customStyle="1">
    <w:name w:val="Header Char_cad96a62-3aab-4506-9996-c78c4025a1fc"/>
    <w:uiPriority w:val="99"/>
    <w:qFormat/>
  </w:style>
  <w:style w:type="character" w:styleId="913" w:customStyle="1">
    <w:name w:val="Footer Char_2883ea9c-9dfb-474c-984b-08a9989d2b19"/>
    <w:uiPriority w:val="99"/>
    <w:qFormat/>
  </w:style>
  <w:style w:type="character" w:styleId="914" w:customStyle="1">
    <w:name w:val="Caption Char"/>
    <w:uiPriority w:val="99"/>
    <w:qFormat/>
  </w:style>
  <w:style w:type="table" w:styleId="91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8" w:customStyle="1">
    <w:name w:val="List Table 1 Light - Accent 1"/>
    <w:uiPriority w:val="99"/>
    <w:qFormat/>
    <w:tblPr>
      <w:tblCellMar>
        <w:left w:w="0" w:type="dxa"/>
        <w:top w:w="0" w:type="dxa"/>
        <w:right w:w="0" w:type="dxa"/>
        <w:bottom w:w="0" w:type="dxa"/>
      </w:tblCellMar>
    </w:tblPr>
  </w:style>
  <w:style w:type="table" w:styleId="959" w:customStyle="1">
    <w:name w:val="List Table 1 Light - Accent 2"/>
    <w:uiPriority w:val="99"/>
    <w:qFormat/>
    <w:tblPr>
      <w:tblCellMar>
        <w:left w:w="0" w:type="dxa"/>
        <w:top w:w="0" w:type="dxa"/>
        <w:right w:w="0" w:type="dxa"/>
        <w:bottom w:w="0" w:type="dxa"/>
      </w:tblCellMar>
    </w:tblPr>
  </w:style>
  <w:style w:type="table" w:styleId="960" w:customStyle="1">
    <w:name w:val="List Table 1 Light - Accent 3"/>
    <w:uiPriority w:val="99"/>
    <w:qFormat/>
    <w:tblPr>
      <w:tblCellMar>
        <w:left w:w="0" w:type="dxa"/>
        <w:top w:w="0" w:type="dxa"/>
        <w:right w:w="0" w:type="dxa"/>
        <w:bottom w:w="0" w:type="dxa"/>
      </w:tblCellMar>
    </w:tblPr>
  </w:style>
  <w:style w:type="table" w:styleId="961" w:customStyle="1">
    <w:name w:val="List Table 1 Light - Accent 4"/>
    <w:uiPriority w:val="99"/>
    <w:qFormat/>
    <w:tblPr>
      <w:tblCellMar>
        <w:left w:w="0" w:type="dxa"/>
        <w:top w:w="0" w:type="dxa"/>
        <w:right w:w="0" w:type="dxa"/>
        <w:bottom w:w="0" w:type="dxa"/>
      </w:tblCellMar>
    </w:tblPr>
  </w:style>
  <w:style w:type="table" w:styleId="962" w:customStyle="1">
    <w:name w:val="List Table 1 Light - Accent 5"/>
    <w:uiPriority w:val="99"/>
    <w:qFormat/>
    <w:tblPr>
      <w:tblCellMar>
        <w:left w:w="0" w:type="dxa"/>
        <w:top w:w="0" w:type="dxa"/>
        <w:right w:w="0" w:type="dxa"/>
        <w:bottom w:w="0" w:type="dxa"/>
      </w:tblCellMar>
    </w:tblPr>
  </w:style>
  <w:style w:type="table" w:styleId="963" w:customStyle="1">
    <w:name w:val="List Table 1 Light - Accent 6"/>
    <w:uiPriority w:val="99"/>
    <w:qFormat/>
    <w:tblPr>
      <w:tblCellMar>
        <w:left w:w="0" w:type="dxa"/>
        <w:top w:w="0" w:type="dxa"/>
        <w:right w:w="0" w:type="dxa"/>
        <w:bottom w:w="0" w:type="dxa"/>
      </w:tblCellMar>
    </w:tblPr>
  </w:style>
  <w:style w:type="table" w:styleId="96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9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0" w:customStyle="1">
    <w:name w:val="Lined - Accent"/>
    <w:uiPriority w:val="99"/>
    <w:qFormat/>
    <w:rPr>
      <w:color w:val="404040"/>
    </w:rPr>
    <w:tblPr>
      <w:tblCellMar>
        <w:left w:w="0" w:type="dxa"/>
        <w:top w:w="0" w:type="dxa"/>
        <w:right w:w="0" w:type="dxa"/>
        <w:bottom w:w="0" w:type="dxa"/>
      </w:tblCellMar>
    </w:tblPr>
  </w:style>
  <w:style w:type="table" w:styleId="1001" w:customStyle="1">
    <w:name w:val="Lined - Accent 1"/>
    <w:uiPriority w:val="99"/>
    <w:qFormat/>
    <w:rPr>
      <w:color w:val="404040"/>
    </w:rPr>
    <w:tblPr>
      <w:tblCellMar>
        <w:left w:w="0" w:type="dxa"/>
        <w:top w:w="0" w:type="dxa"/>
        <w:right w:w="0" w:type="dxa"/>
        <w:bottom w:w="0" w:type="dxa"/>
      </w:tblCellMar>
    </w:tblPr>
  </w:style>
  <w:style w:type="table" w:styleId="1002" w:customStyle="1">
    <w:name w:val="Lined - Accent 2"/>
    <w:uiPriority w:val="99"/>
    <w:qFormat/>
    <w:rPr>
      <w:color w:val="404040"/>
    </w:rPr>
    <w:tblPr>
      <w:tblCellMar>
        <w:left w:w="0" w:type="dxa"/>
        <w:top w:w="0" w:type="dxa"/>
        <w:right w:w="0" w:type="dxa"/>
        <w:bottom w:w="0" w:type="dxa"/>
      </w:tblCellMar>
    </w:tblPr>
  </w:style>
  <w:style w:type="table" w:styleId="1003" w:customStyle="1">
    <w:name w:val="Lined - Accent 3"/>
    <w:uiPriority w:val="99"/>
    <w:qFormat/>
    <w:rPr>
      <w:color w:val="404040"/>
    </w:rPr>
    <w:tblPr>
      <w:tblCellMar>
        <w:left w:w="0" w:type="dxa"/>
        <w:top w:w="0" w:type="dxa"/>
        <w:right w:w="0" w:type="dxa"/>
        <w:bottom w:w="0" w:type="dxa"/>
      </w:tblCellMar>
    </w:tblPr>
  </w:style>
  <w:style w:type="table" w:styleId="1004" w:customStyle="1">
    <w:name w:val="Lined - Accent 4"/>
    <w:uiPriority w:val="99"/>
    <w:qFormat/>
    <w:rPr>
      <w:color w:val="404040"/>
    </w:rPr>
    <w:tblPr>
      <w:tblCellMar>
        <w:left w:w="0" w:type="dxa"/>
        <w:top w:w="0" w:type="dxa"/>
        <w:right w:w="0" w:type="dxa"/>
        <w:bottom w:w="0" w:type="dxa"/>
      </w:tblCellMar>
    </w:tblPr>
  </w:style>
  <w:style w:type="table" w:styleId="1005" w:customStyle="1">
    <w:name w:val="Lined - Accent 5"/>
    <w:uiPriority w:val="99"/>
    <w:qFormat/>
    <w:rPr>
      <w:color w:val="404040"/>
    </w:rPr>
    <w:tblPr>
      <w:tblCellMar>
        <w:left w:w="0" w:type="dxa"/>
        <w:top w:w="0" w:type="dxa"/>
        <w:right w:w="0" w:type="dxa"/>
        <w:bottom w:w="0" w:type="dxa"/>
      </w:tblCellMar>
    </w:tblPr>
  </w:style>
  <w:style w:type="table" w:styleId="1006" w:customStyle="1">
    <w:name w:val="Lined - Accent 6"/>
    <w:uiPriority w:val="99"/>
    <w:qFormat/>
    <w:rPr>
      <w:color w:val="404040"/>
    </w:rPr>
    <w:tblPr>
      <w:tblCellMar>
        <w:left w:w="0" w:type="dxa"/>
        <w:top w:w="0" w:type="dxa"/>
        <w:right w:w="0" w:type="dxa"/>
        <w:bottom w:w="0" w:type="dxa"/>
      </w:tblCellMar>
    </w:tblPr>
  </w:style>
  <w:style w:type="table" w:styleId="100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1" w:customStyle="1">
    <w:name w:val="Footnote Text Char"/>
    <w:uiPriority w:val="99"/>
    <w:qFormat/>
    <w:rPr>
      <w:sz w:val="18"/>
    </w:rPr>
  </w:style>
  <w:style w:type="paragraph" w:styleId="1022" w:customStyle="1">
    <w:name w:val="TOC 标题11"/>
    <w:uiPriority w:val="39"/>
    <w:qFormat/>
    <w:rPr>
      <w:rFonts w:ascii="Times New Roman" w:hAnsi="Times New Roman" w:eastAsia="宋体" w:cs="Times New Roman"/>
      <w:lang w:val="en-US" w:eastAsia="zh-CN" w:bidi="ar-SA"/>
    </w:rPr>
  </w:style>
  <w:style w:type="character" w:styleId="1023" w:customStyle="1">
    <w:name w:val="正文缩进 Char"/>
    <w:link w:val="769"/>
    <w:uiPriority w:val="0"/>
    <w:qFormat/>
    <w:rPr>
      <w:rFonts w:ascii="Times New Roman" w:hAnsi="Times New Roman" w:eastAsia="宋体" w:cs="Times New Roman"/>
      <w:szCs w:val="20"/>
    </w:rPr>
  </w:style>
  <w:style w:type="paragraph" w:styleId="1024" w:customStyle="1">
    <w:name w:val="目录 71"/>
    <w:basedOn w:val="757"/>
    <w:next w:val="757"/>
    <w:uiPriority w:val="0"/>
    <w:qFormat/>
    <w:pPr>
      <w:ind w:left="2520"/>
    </w:pPr>
  </w:style>
  <w:style w:type="paragraph" w:styleId="1025" w:customStyle="1">
    <w:name w:val="目录 51"/>
    <w:basedOn w:val="757"/>
    <w:next w:val="757"/>
    <w:uiPriority w:val="0"/>
    <w:qFormat/>
    <w:pPr>
      <w:ind w:left="1680"/>
    </w:pPr>
  </w:style>
  <w:style w:type="paragraph" w:styleId="1026" w:customStyle="1">
    <w:name w:val="目录 31"/>
    <w:basedOn w:val="757"/>
    <w:next w:val="757"/>
    <w:uiPriority w:val="39"/>
    <w:qFormat/>
    <w:pPr>
      <w:ind w:left="539"/>
      <w:jc w:val="left"/>
      <w:spacing w:line="240" w:lineRule="exact"/>
      <w:tabs>
        <w:tab w:val="right" w:pos="9440" w:leader="dot"/>
      </w:tabs>
    </w:pPr>
    <w:rPr>
      <w:rFonts w:ascii="黑体" w:hAnsi="宋体" w:eastAsia="黑体"/>
      <w:bCs/>
      <w:iCs/>
      <w:sz w:val="18"/>
      <w:szCs w:val="32"/>
    </w:rPr>
  </w:style>
  <w:style w:type="paragraph" w:styleId="1027" w:customStyle="1">
    <w:name w:val="目录 81"/>
    <w:basedOn w:val="757"/>
    <w:next w:val="757"/>
    <w:uiPriority w:val="0"/>
    <w:qFormat/>
    <w:pPr>
      <w:ind w:left="2940"/>
    </w:pPr>
  </w:style>
  <w:style w:type="paragraph" w:styleId="1028" w:customStyle="1">
    <w:name w:val="目录 11"/>
    <w:basedOn w:val="757"/>
    <w:next w:val="757"/>
    <w:uiPriority w:val="39"/>
    <w:qFormat/>
    <w:pPr>
      <w:jc w:val="left"/>
      <w:spacing w:before="120" w:after="120" w:line="300" w:lineRule="exact"/>
      <w:tabs>
        <w:tab w:val="right" w:pos="9440" w:leader="dot"/>
      </w:tabs>
    </w:pPr>
    <w:rPr>
      <w:rFonts w:ascii="黑体" w:eastAsia="黑体"/>
      <w:b/>
      <w:caps/>
      <w:sz w:val="18"/>
      <w:szCs w:val="28"/>
    </w:rPr>
  </w:style>
  <w:style w:type="paragraph" w:styleId="1029" w:customStyle="1">
    <w:name w:val="目录 41"/>
    <w:basedOn w:val="757"/>
    <w:next w:val="757"/>
    <w:uiPriority w:val="0"/>
    <w:qFormat/>
    <w:pPr>
      <w:ind w:left="1260"/>
    </w:pPr>
  </w:style>
  <w:style w:type="paragraph" w:styleId="1030" w:customStyle="1">
    <w:name w:val="目录 61"/>
    <w:basedOn w:val="757"/>
    <w:next w:val="757"/>
    <w:uiPriority w:val="0"/>
    <w:qFormat/>
    <w:pPr>
      <w:ind w:left="2100"/>
    </w:pPr>
  </w:style>
  <w:style w:type="paragraph" w:styleId="1031" w:customStyle="1">
    <w:name w:val="目录 21"/>
    <w:basedOn w:val="757"/>
    <w:next w:val="757"/>
    <w:uiPriority w:val="39"/>
    <w:qFormat/>
    <w:pPr>
      <w:jc w:val="left"/>
      <w:spacing w:line="260" w:lineRule="exact"/>
      <w:tabs>
        <w:tab w:val="right" w:pos="9440" w:leader="dot"/>
      </w:tabs>
    </w:pPr>
    <w:rPr>
      <w:rFonts w:ascii="黑体" w:eastAsia="黑体"/>
      <w:b/>
      <w:bCs/>
      <w:smallCaps/>
      <w:sz w:val="18"/>
      <w:szCs w:val="44"/>
    </w:rPr>
  </w:style>
  <w:style w:type="paragraph" w:styleId="1032" w:customStyle="1">
    <w:name w:val="目录 91"/>
    <w:basedOn w:val="757"/>
    <w:next w:val="757"/>
    <w:uiPriority w:val="0"/>
    <w:qFormat/>
    <w:pPr>
      <w:ind w:left="3360"/>
    </w:pPr>
  </w:style>
  <w:style w:type="paragraph" w:styleId="1033" w:customStyle="1">
    <w:name w:val="正文首行缩进1"/>
    <w:basedOn w:val="776"/>
    <w:next w:val="771"/>
    <w:uiPriority w:val="99"/>
    <w:qFormat/>
    <w:pPr>
      <w:ind w:firstLine="200"/>
      <w:spacing w:line="360" w:lineRule="auto"/>
    </w:pPr>
    <w:rPr>
      <w:rFonts w:ascii="仿宋_GB2312" w:hAnsi="Times New Roman" w:eastAsia="仿宋_GB2312"/>
      <w:sz w:val="30"/>
      <w:szCs w:val="30"/>
    </w:rPr>
  </w:style>
  <w:style w:type="paragraph" w:styleId="1034" w:customStyle="1">
    <w:name w:val="正文首行缩进 211"/>
    <w:basedOn w:val="777"/>
    <w:next w:val="769"/>
    <w:uiPriority w:val="0"/>
    <w:qFormat/>
    <w:pPr>
      <w:ind w:left="0" w:firstLine="420"/>
      <w:spacing w:after="0" w:line="360" w:lineRule="auto"/>
    </w:pPr>
    <w:rPr>
      <w:rFonts w:ascii="宋体" w:hAnsi="宋体"/>
      <w:szCs w:val="20"/>
    </w:rPr>
  </w:style>
  <w:style w:type="paragraph" w:styleId="1035" w:customStyle="1">
    <w:name w:val="BodyText1I21"/>
    <w:basedOn w:val="1036"/>
    <w:uiPriority w:val="0"/>
    <w:qFormat/>
    <w:pPr>
      <w:ind w:left="420" w:firstLine="420"/>
      <w:spacing w:after="120" w:line="240" w:lineRule="auto"/>
    </w:pPr>
  </w:style>
  <w:style w:type="paragraph" w:styleId="1036" w:customStyle="1">
    <w:name w:val="BodyTextIndent1"/>
    <w:basedOn w:val="757"/>
    <w:uiPriority w:val="0"/>
    <w:qFormat/>
    <w:pPr>
      <w:ind w:firstLine="552"/>
      <w:spacing w:before="240" w:line="360" w:lineRule="auto"/>
    </w:pPr>
  </w:style>
  <w:style w:type="character" w:styleId="1037" w:customStyle="1">
    <w:name w:val="批注文字 字符1"/>
    <w:uiPriority w:val="99"/>
    <w:qFormat/>
    <w:rPr>
      <w:rFonts w:ascii="Times New Roman" w:hAnsi="Times New Roman" w:eastAsia="宋体" w:cs="Times New Roman"/>
      <w:szCs w:val="24"/>
    </w:rPr>
  </w:style>
  <w:style w:type="character" w:styleId="1038" w:customStyle="1">
    <w:name w:val="引用 Char"/>
    <w:uiPriority w:val="0"/>
    <w:qFormat/>
    <w:rPr>
      <w:i/>
      <w:iCs/>
      <w:color w:val="000000"/>
      <w:sz w:val="21"/>
      <w:szCs w:val="22"/>
    </w:rPr>
  </w:style>
  <w:style w:type="character" w:styleId="1039" w:customStyle="1">
    <w:name w:val="jj1"/>
    <w:uiPriority w:val="0"/>
    <w:qFormat/>
    <w:rPr>
      <w:sz w:val="20"/>
      <w:szCs w:val="20"/>
      <w:u w:val="none"/>
    </w:rPr>
  </w:style>
  <w:style w:type="character" w:styleId="1040" w:customStyle="1">
    <w:name w:val="textcontents"/>
    <w:uiPriority w:val="0"/>
    <w:qFormat/>
    <w:rPr>
      <w:rFonts w:cs="Times New Roman"/>
    </w:rPr>
  </w:style>
  <w:style w:type="character" w:styleId="1041" w:customStyle="1">
    <w:name w:val="fontstyle01"/>
    <w:uiPriority w:val="0"/>
    <w:qFormat/>
    <w:rPr>
      <w:rFonts w:hint="eastAsia" w:ascii="宋体" w:hAnsi="宋体" w:eastAsia="宋体"/>
      <w:color w:val="000000"/>
      <w:sz w:val="22"/>
      <w:szCs w:val="22"/>
    </w:rPr>
  </w:style>
  <w:style w:type="character" w:styleId="1042" w:customStyle="1">
    <w:name w:val="Char Char7"/>
    <w:uiPriority w:val="0"/>
    <w:qFormat/>
    <w:rPr>
      <w:rFonts w:ascii="Arial" w:hAnsi="Arial" w:eastAsia="黑体"/>
      <w:b/>
      <w:bCs/>
      <w:sz w:val="32"/>
      <w:szCs w:val="32"/>
    </w:rPr>
  </w:style>
  <w:style w:type="character" w:styleId="1043" w:customStyle="1">
    <w:name w:val="标题2 Char"/>
    <w:uiPriority w:val="0"/>
    <w:qFormat/>
    <w:rPr>
      <w:rFonts w:ascii="方正楷体_GBK" w:hAnsi="Book Antiqua" w:eastAsia="方正楷体_GBK"/>
      <w:sz w:val="32"/>
      <w:lang w:val="en-US" w:eastAsia="zh-CN" w:bidi="ar-SA"/>
    </w:rPr>
  </w:style>
  <w:style w:type="character" w:styleId="1044" w:customStyle="1">
    <w:name w:val="标题5 Char Char"/>
    <w:link w:val="1045"/>
    <w:uiPriority w:val="0"/>
    <w:qFormat/>
    <w:rPr>
      <w:rFonts w:ascii="Arial" w:hAnsi="Arial"/>
      <w:b/>
      <w:bCs/>
      <w:sz w:val="24"/>
      <w:szCs w:val="32"/>
    </w:rPr>
  </w:style>
  <w:style w:type="paragraph" w:styleId="1045" w:customStyle="1">
    <w:name w:val="标题5"/>
    <w:basedOn w:val="760"/>
    <w:link w:val="1044"/>
    <w:uiPriority w:val="0"/>
    <w:qFormat/>
    <w:pPr>
      <w:spacing w:line="413" w:lineRule="auto"/>
    </w:pPr>
    <w:rPr>
      <w:rFonts w:ascii="Arial" w:hAnsi="Arial" w:cs="Arial"/>
      <w:bCs/>
      <w:sz w:val="24"/>
      <w:szCs w:val="32"/>
    </w:rPr>
  </w:style>
  <w:style w:type="character" w:styleId="1046" w:customStyle="1">
    <w:name w:val="_Style 138"/>
    <w:uiPriority w:val="0"/>
    <w:qFormat/>
    <w:rPr>
      <w:b/>
      <w:bCs/>
      <w:smallCaps/>
      <w:spacing w:val="5"/>
    </w:rPr>
  </w:style>
  <w:style w:type="character" w:styleId="1047" w:customStyle="1">
    <w:name w:val="明显引用 Char"/>
    <w:uiPriority w:val="0"/>
    <w:qFormat/>
    <w:rPr>
      <w:b/>
      <w:bCs/>
      <w:i/>
      <w:iCs/>
      <w:color w:val="4f81bd"/>
      <w:sz w:val="21"/>
      <w:szCs w:val="22"/>
    </w:rPr>
  </w:style>
  <w:style w:type="character" w:styleId="1048" w:customStyle="1">
    <w:name w:val="Char Char71"/>
    <w:uiPriority w:val="0"/>
    <w:qFormat/>
    <w:rPr>
      <w:rFonts w:ascii="Arial" w:hAnsi="Arial" w:eastAsia="黑体"/>
      <w:b/>
      <w:bCs/>
      <w:sz w:val="32"/>
      <w:szCs w:val="32"/>
    </w:rPr>
  </w:style>
  <w:style w:type="character" w:styleId="1049" w:customStyle="1">
    <w:name w:val="_Style 132"/>
    <w:uiPriority w:val="0"/>
    <w:qFormat/>
    <w:rPr>
      <w:i/>
      <w:iCs/>
      <w:color w:val="808080"/>
    </w:rPr>
  </w:style>
  <w:style w:type="character" w:styleId="1050" w:customStyle="1">
    <w:name w:val="批注主题 Char2"/>
    <w:uiPriority w:val="0"/>
    <w:qFormat/>
  </w:style>
  <w:style w:type="character" w:styleId="1051" w:customStyle="1">
    <w:name w:val="_Style 147"/>
    <w:uiPriority w:val="0"/>
    <w:qFormat/>
    <w:rPr>
      <w:smallCaps/>
      <w:color w:val="c0504d"/>
      <w:u w:val="single"/>
    </w:rPr>
  </w:style>
  <w:style w:type="character" w:styleId="1052" w:customStyle="1">
    <w:name w:val="批注框文本 Char1"/>
    <w:uiPriority w:val="0"/>
    <w:qFormat/>
    <w:rPr>
      <w:sz w:val="18"/>
      <w:szCs w:val="18"/>
    </w:rPr>
  </w:style>
  <w:style w:type="character" w:styleId="1053" w:customStyle="1">
    <w:name w:val="日期 Char1"/>
    <w:uiPriority w:val="0"/>
    <w:qFormat/>
    <w:rPr>
      <w:sz w:val="21"/>
      <w:szCs w:val="22"/>
    </w:rPr>
  </w:style>
  <w:style w:type="character" w:styleId="1054" w:customStyle="1">
    <w:name w:val="列出段落 Char"/>
    <w:link w:val="1055"/>
    <w:uiPriority w:val="0"/>
    <w:qFormat/>
    <w:rPr>
      <w:rFonts w:ascii="Calibri" w:hAnsi="Calibri"/>
      <w:sz w:val="24"/>
      <w:szCs w:val="24"/>
      <w:lang w:eastAsia="en-US" w:bidi="en-US"/>
    </w:rPr>
  </w:style>
  <w:style w:type="paragraph" w:styleId="1055" w:customStyle="1">
    <w:name w:val="列出段落1"/>
    <w:basedOn w:val="757"/>
    <w:link w:val="1054"/>
    <w:uiPriority w:val="0"/>
    <w:qFormat/>
    <w:pPr>
      <w:contextualSpacing/>
      <w:ind w:left="720"/>
      <w:jc w:val="left"/>
      <w:widowControl/>
    </w:pPr>
    <w:rPr>
      <w:rFonts w:ascii="Calibri" w:hAnsi="Calibri" w:cs="Arial"/>
      <w:sz w:val="24"/>
      <w:lang w:eastAsia="en-US" w:bidi="en-US"/>
    </w:rPr>
  </w:style>
  <w:style w:type="character" w:styleId="1056" w:customStyle="1">
    <w:name w:val="Char Char19"/>
    <w:uiPriority w:val="0"/>
    <w:qFormat/>
    <w:rPr>
      <w:rFonts w:ascii="Arial" w:hAnsi="Arial" w:eastAsia="黑体"/>
      <w:b/>
      <w:bCs/>
      <w:sz w:val="32"/>
      <w:szCs w:val="32"/>
      <w:lang w:val="en-US" w:eastAsia="zh-CN" w:bidi="ar-SA"/>
    </w:rPr>
  </w:style>
  <w:style w:type="character" w:styleId="1057" w:customStyle="1">
    <w:name w:val="标题4 Char Char"/>
    <w:link w:val="1058"/>
    <w:uiPriority w:val="0"/>
    <w:qFormat/>
    <w:rPr>
      <w:rFonts w:ascii="Arial" w:hAnsi="Arial"/>
      <w:b/>
      <w:bCs/>
      <w:sz w:val="24"/>
      <w:szCs w:val="32"/>
    </w:rPr>
  </w:style>
  <w:style w:type="paragraph" w:styleId="1058" w:customStyle="1">
    <w:name w:val="标题4"/>
    <w:basedOn w:val="759"/>
    <w:next w:val="779"/>
    <w:link w:val="1057"/>
    <w:uiPriority w:val="0"/>
    <w:qFormat/>
    <w:pPr>
      <w:jc w:val="both"/>
      <w:spacing w:line="413" w:lineRule="auto"/>
    </w:pPr>
    <w:rPr>
      <w:rFonts w:eastAsia="宋体" w:cs="Arial"/>
      <w:bCs/>
      <w:sz w:val="24"/>
      <w:szCs w:val="32"/>
    </w:rPr>
  </w:style>
  <w:style w:type="character" w:styleId="1059" w:customStyle="1">
    <w:name w:val="_Style 137"/>
    <w:uiPriority w:val="0"/>
    <w:qFormat/>
    <w:rPr>
      <w:b/>
      <w:bCs/>
      <w:smallCaps/>
      <w:color w:val="c0504d"/>
      <w:spacing w:val="5"/>
      <w:u w:val="single"/>
    </w:rPr>
  </w:style>
  <w:style w:type="character" w:styleId="1060" w:customStyle="1">
    <w:name w:val="批注主题 Char1"/>
    <w:uiPriority w:val="0"/>
    <w:qFormat/>
    <w:rPr>
      <w:b/>
      <w:bCs/>
      <w:sz w:val="21"/>
      <w:szCs w:val="22"/>
    </w:rPr>
  </w:style>
  <w:style w:type="character" w:styleId="1061" w:customStyle="1">
    <w:name w:val="批注主题 字符1"/>
    <w:uiPriority w:val="99"/>
    <w:qFormat/>
    <w:rPr>
      <w:rFonts w:ascii="Times New Roman" w:hAnsi="Times New Roman" w:eastAsia="宋体" w:cs="Times New Roman"/>
      <w:b/>
      <w:bCs/>
      <w:szCs w:val="24"/>
    </w:rPr>
  </w:style>
  <w:style w:type="character" w:styleId="1062" w:customStyle="1">
    <w:name w:val="notprint"/>
    <w:uiPriority w:val="0"/>
    <w:qFormat/>
  </w:style>
  <w:style w:type="character" w:styleId="1063" w:customStyle="1">
    <w:name w:val="普通正文 Char"/>
    <w:link w:val="1064"/>
    <w:uiPriority w:val="0"/>
    <w:qFormat/>
    <w:rPr>
      <w:rFonts w:ascii="Arial" w:hAnsi="Arial"/>
      <w:sz w:val="24"/>
      <w:szCs w:val="24"/>
    </w:rPr>
  </w:style>
  <w:style w:type="paragraph" w:styleId="1064" w:customStyle="1">
    <w:name w:val="普通正文"/>
    <w:basedOn w:val="757"/>
    <w:link w:val="1063"/>
    <w:uiPriority w:val="0"/>
    <w:qFormat/>
    <w:pPr>
      <w:ind w:firstLine="480"/>
      <w:jc w:val="left"/>
      <w:spacing w:before="120" w:after="120" w:line="360" w:lineRule="auto"/>
    </w:pPr>
    <w:rPr>
      <w:rFonts w:ascii="Arial" w:hAnsi="Arial" w:cs="Arial"/>
      <w:sz w:val="24"/>
    </w:rPr>
  </w:style>
  <w:style w:type="character" w:styleId="1065" w:customStyle="1">
    <w:name w:val="标题 2 Char_1_0"/>
    <w:link w:val="1066"/>
    <w:uiPriority w:val="99"/>
    <w:qFormat/>
    <w:rPr>
      <w:rFonts w:ascii="Cambria" w:hAnsi="Cambria"/>
      <w:b/>
      <w:bCs/>
      <w:sz w:val="32"/>
      <w:szCs w:val="32"/>
    </w:rPr>
  </w:style>
  <w:style w:type="paragraph" w:styleId="1066" w:customStyle="1">
    <w:name w:val="标题 2_1_0"/>
    <w:basedOn w:val="1067"/>
    <w:next w:val="1067"/>
    <w:link w:val="1065"/>
    <w:uiPriority w:val="99"/>
    <w:qFormat/>
    <w:pPr>
      <w:keepLines/>
      <w:keepNext/>
      <w:spacing w:before="260" w:after="260" w:line="416" w:lineRule="auto"/>
      <w:outlineLvl w:val="1"/>
    </w:pPr>
    <w:rPr>
      <w:rFonts w:ascii="Cambria" w:hAnsi="Cambria" w:cs="Arial"/>
      <w:b/>
      <w:bCs/>
      <w:sz w:val="32"/>
      <w:szCs w:val="32"/>
    </w:rPr>
  </w:style>
  <w:style w:type="paragraph" w:styleId="106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character" w:styleId="1068" w:customStyle="1">
    <w:name w:val="文档结构图 字符1"/>
    <w:uiPriority w:val="99"/>
    <w:qFormat/>
    <w:rPr>
      <w:rFonts w:ascii="Microsoft YaHei UI" w:hAnsi="Times New Roman" w:eastAsia="Microsoft YaHei UI" w:cs="Times New Roman"/>
      <w:sz w:val="18"/>
      <w:szCs w:val="18"/>
    </w:rPr>
  </w:style>
  <w:style w:type="character" w:styleId="1069" w:customStyle="1">
    <w:name w:val="页眉 字符1"/>
    <w:uiPriority w:val="99"/>
    <w:qFormat/>
    <w:rPr>
      <w:rFonts w:ascii="Times New Roman" w:hAnsi="Times New Roman" w:eastAsia="宋体" w:cs="Times New Roman"/>
      <w:sz w:val="18"/>
      <w:szCs w:val="18"/>
    </w:rPr>
  </w:style>
  <w:style w:type="character" w:styleId="1070" w:customStyle="1">
    <w:name w:val="文档结构图 Char1"/>
    <w:uiPriority w:val="0"/>
    <w:qFormat/>
    <w:rPr>
      <w:rFonts w:ascii="宋体"/>
      <w:sz w:val="18"/>
      <w:szCs w:val="18"/>
    </w:rPr>
  </w:style>
  <w:style w:type="character" w:styleId="1071" w:customStyle="1">
    <w:name w:val="Char Char191"/>
    <w:uiPriority w:val="0"/>
    <w:qFormat/>
    <w:rPr>
      <w:rFonts w:ascii="Arial" w:hAnsi="Arial" w:eastAsia="黑体"/>
      <w:b/>
      <w:bCs/>
      <w:sz w:val="32"/>
      <w:szCs w:val="32"/>
      <w:lang w:val="en-US" w:eastAsia="zh-CN" w:bidi="ar-SA"/>
    </w:rPr>
  </w:style>
  <w:style w:type="character" w:styleId="1072" w:customStyle="1">
    <w:name w:val="正文文本 字符1"/>
    <w:uiPriority w:val="99"/>
    <w:qFormat/>
    <w:rPr>
      <w:rFonts w:ascii="Times New Roman" w:hAnsi="Times New Roman" w:eastAsia="宋体" w:cs="Times New Roman"/>
      <w:szCs w:val="24"/>
    </w:rPr>
  </w:style>
  <w:style w:type="character" w:styleId="1073" w:customStyle="1">
    <w:name w:val="批注文字 Char Char"/>
    <w:uiPriority w:val="0"/>
    <w:qFormat/>
    <w:rPr>
      <w:rFonts w:ascii="宋体" w:hAnsi="Times New Roman" w:eastAsia="宋体" w:cs="Times New Roman"/>
      <w:sz w:val="28"/>
      <w:szCs w:val="20"/>
    </w:rPr>
  </w:style>
  <w:style w:type="character" w:styleId="1074" w:customStyle="1">
    <w:name w:val="_Style 145"/>
    <w:uiPriority w:val="0"/>
    <w:qFormat/>
    <w:rPr>
      <w:b/>
      <w:bCs/>
      <w:i/>
      <w:iCs/>
      <w:color w:val="4f81bd"/>
    </w:rPr>
  </w:style>
  <w:style w:type="character" w:styleId="1075" w:customStyle="1">
    <w:name w:val="批注框文本 字符1"/>
    <w:uiPriority w:val="99"/>
    <w:qFormat/>
    <w:rPr>
      <w:rFonts w:ascii="Times New Roman" w:hAnsi="Times New Roman" w:eastAsia="宋体" w:cs="Times New Roman"/>
      <w:sz w:val="18"/>
      <w:szCs w:val="18"/>
    </w:rPr>
  </w:style>
  <w:style w:type="character" w:styleId="1076" w:customStyle="1">
    <w:name w:val="font31"/>
    <w:uiPriority w:val="0"/>
    <w:qFormat/>
    <w:rPr>
      <w:rFonts w:hint="eastAsia" w:ascii="宋体" w:hAnsi="宋体" w:eastAsia="宋体" w:cs="宋体"/>
      <w:color w:val="000000"/>
      <w:sz w:val="24"/>
      <w:szCs w:val="24"/>
      <w:u w:val="none"/>
    </w:rPr>
  </w:style>
  <w:style w:type="character" w:styleId="1077" w:customStyle="1">
    <w:name w:val="正文文本 Char1"/>
    <w:uiPriority w:val="0"/>
    <w:qFormat/>
    <w:rPr>
      <w:sz w:val="21"/>
      <w:szCs w:val="22"/>
    </w:rPr>
  </w:style>
  <w:style w:type="character" w:styleId="1078" w:customStyle="1">
    <w:name w:val="副标题 Char1"/>
    <w:uiPriority w:val="0"/>
    <w:qFormat/>
    <w:rPr>
      <w:rFonts w:ascii="Cambria" w:hAnsi="Cambria" w:cs="Times New Roman"/>
      <w:b/>
      <w:bCs/>
      <w:sz w:val="32"/>
      <w:szCs w:val="32"/>
    </w:rPr>
  </w:style>
  <w:style w:type="character" w:styleId="1079" w:customStyle="1">
    <w:name w:val="Char Char21"/>
    <w:uiPriority w:val="0"/>
    <w:qFormat/>
    <w:rPr>
      <w:rFonts w:ascii="黑体" w:hAnsi="宋体" w:eastAsia="黑体"/>
      <w:bCs/>
      <w:sz w:val="28"/>
      <w:szCs w:val="28"/>
    </w:rPr>
  </w:style>
  <w:style w:type="character" w:styleId="1080" w:customStyle="1">
    <w:name w:val="批注文字 Char2"/>
    <w:uiPriority w:val="0"/>
    <w:qFormat/>
    <w:rPr>
      <w:rFonts w:eastAsia="宋体"/>
      <w:sz w:val="21"/>
      <w:szCs w:val="24"/>
      <w:lang w:val="en-US" w:eastAsia="zh-CN" w:bidi="ar-SA"/>
    </w:rPr>
  </w:style>
  <w:style w:type="character" w:styleId="1081" w:customStyle="1">
    <w:name w:val="批注文字 Char1"/>
    <w:uiPriority w:val="0"/>
    <w:qFormat/>
    <w:rPr>
      <w:sz w:val="21"/>
      <w:szCs w:val="24"/>
    </w:rPr>
  </w:style>
  <w:style w:type="character" w:styleId="1082" w:customStyle="1">
    <w:name w:val="Char Char20"/>
    <w:uiPriority w:val="0"/>
    <w:qFormat/>
    <w:rPr>
      <w:rFonts w:eastAsia="宋体"/>
      <w:b/>
      <w:bCs/>
      <w:sz w:val="44"/>
      <w:szCs w:val="44"/>
      <w:lang w:val="en-US" w:eastAsia="zh-CN" w:bidi="ar-SA"/>
    </w:rPr>
  </w:style>
  <w:style w:type="character" w:styleId="1083" w:customStyle="1">
    <w:name w:val="标题 Char1"/>
    <w:uiPriority w:val="0"/>
    <w:qFormat/>
    <w:rPr>
      <w:rFonts w:ascii="Cambria" w:hAnsi="Cambria" w:cs="Times New Roman"/>
      <w:b/>
      <w:bCs/>
      <w:sz w:val="32"/>
      <w:szCs w:val="32"/>
    </w:rPr>
  </w:style>
  <w:style w:type="character" w:styleId="1084" w:customStyle="1">
    <w:name w:val="标题 3 Char1"/>
    <w:uiPriority w:val="0"/>
    <w:qFormat/>
    <w:rPr>
      <w:rFonts w:ascii="黑体" w:hAnsi="宋体" w:eastAsia="黑体"/>
      <w:bCs/>
      <w:sz w:val="28"/>
      <w:szCs w:val="28"/>
    </w:rPr>
  </w:style>
  <w:style w:type="character" w:styleId="1085" w:customStyle="1">
    <w:name w:val="页脚 字符1"/>
    <w:uiPriority w:val="99"/>
    <w:qFormat/>
    <w:rPr>
      <w:rFonts w:ascii="Times New Roman" w:hAnsi="Times New Roman" w:eastAsia="宋体" w:cs="Times New Roman"/>
      <w:sz w:val="18"/>
      <w:szCs w:val="18"/>
    </w:rPr>
  </w:style>
  <w:style w:type="character" w:styleId="1086" w:customStyle="1">
    <w:name w:val="页脚 Char1"/>
    <w:uiPriority w:val="99"/>
    <w:qFormat/>
    <w:rPr>
      <w:sz w:val="18"/>
      <w:szCs w:val="24"/>
    </w:rPr>
  </w:style>
  <w:style w:type="character" w:styleId="1087" w:customStyle="1">
    <w:name w:val="页眉 Char1"/>
    <w:uiPriority w:val="99"/>
    <w:qFormat/>
    <w:rPr>
      <w:sz w:val="18"/>
      <w:szCs w:val="24"/>
    </w:rPr>
  </w:style>
  <w:style w:type="character" w:styleId="1088" w:customStyle="1">
    <w:name w:val="Char Char211"/>
    <w:uiPriority w:val="0"/>
    <w:qFormat/>
    <w:rPr>
      <w:rFonts w:ascii="黑体" w:hAnsi="宋体" w:eastAsia="黑体"/>
      <w:bCs/>
      <w:sz w:val="28"/>
      <w:szCs w:val="28"/>
    </w:rPr>
  </w:style>
  <w:style w:type="character" w:styleId="1089" w:customStyle="1">
    <w:name w:val="Char Char201"/>
    <w:uiPriority w:val="0"/>
    <w:qFormat/>
    <w:rPr>
      <w:rFonts w:eastAsia="宋体"/>
      <w:b/>
      <w:bCs/>
      <w:sz w:val="44"/>
      <w:szCs w:val="44"/>
      <w:lang w:val="en-US" w:eastAsia="zh-CN" w:bidi="ar-SA"/>
    </w:rPr>
  </w:style>
  <w:style w:type="paragraph" w:styleId="1090" w:customStyle="1">
    <w:name w:val="样式 标题 2 + Times New Roman 四号 非加粗 段前: 5 磅 段后: 0 磅 行距: 固定值 20..."/>
    <w:basedOn w:val="759"/>
    <w:uiPriority w:val="0"/>
    <w:qFormat/>
    <w:pPr>
      <w:jc w:val="both"/>
      <w:spacing w:before="100" w:after="0" w:line="400" w:lineRule="exact"/>
    </w:pPr>
    <w:rPr>
      <w:rFonts w:ascii="Times New Roman" w:hAnsi="Times New Roman" w:eastAsia="黑体" w:cs="宋体"/>
      <w:b w:val="0"/>
      <w:sz w:val="28"/>
    </w:rPr>
  </w:style>
  <w:style w:type="paragraph" w:styleId="1091" w:customStyle="1">
    <w:name w:val="_Style 110"/>
    <w:uiPriority w:val="0"/>
    <w:qFormat/>
    <w:rPr>
      <w:rFonts w:ascii="Times New Roman" w:hAnsi="Times New Roman" w:eastAsia="宋体" w:cs="Times New Roman"/>
      <w:sz w:val="21"/>
      <w:szCs w:val="24"/>
      <w:lang w:val="en-US" w:eastAsia="zh-CN" w:bidi="ar-SA"/>
    </w:rPr>
  </w:style>
  <w:style w:type="paragraph" w:styleId="1092" w:customStyle="1">
    <w:name w:val="Heading 71"/>
    <w:basedOn w:val="757"/>
    <w:uiPriority w:val="0"/>
    <w:qFormat/>
    <w:pPr>
      <w:jc w:val="left"/>
      <w:outlineLvl w:val="7"/>
    </w:pPr>
    <w:rPr>
      <w:rFonts w:ascii="宋体" w:hAnsi="宋体" w:cs="宋体"/>
      <w:sz w:val="28"/>
      <w:szCs w:val="28"/>
      <w:lang w:eastAsia="en-US"/>
    </w:rPr>
  </w:style>
  <w:style w:type="paragraph" w:styleId="1093" w:customStyle="1">
    <w:name w:val="Char Char Char Char"/>
    <w:basedOn w:val="773"/>
    <w:uiPriority w:val="0"/>
    <w:qFormat/>
    <w:pPr>
      <w:spacing w:line="360" w:lineRule="auto"/>
    </w:pPr>
    <w:rPr>
      <w:rFonts w:ascii="Tahoma" w:hAnsi="Tahoma"/>
      <w:sz w:val="24"/>
    </w:rPr>
  </w:style>
  <w:style w:type="paragraph" w:styleId="1094"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095" w:customStyle="1">
    <w:name w:val="标题 2_0"/>
    <w:basedOn w:val="757"/>
    <w:next w:val="757"/>
    <w:uiPriority w:val="9"/>
    <w:qFormat/>
    <w:pPr>
      <w:keepLines/>
      <w:keepNext/>
      <w:spacing w:before="260" w:after="260" w:line="416" w:lineRule="auto"/>
      <w:outlineLvl w:val="1"/>
    </w:pPr>
    <w:rPr>
      <w:rFonts w:ascii="Arial" w:hAnsi="Arial" w:eastAsia="黑体"/>
      <w:b/>
      <w:bCs/>
      <w:sz w:val="32"/>
      <w:szCs w:val="32"/>
    </w:rPr>
  </w:style>
  <w:style w:type="paragraph" w:styleId="1096" w:customStyle="1">
    <w:name w:val="标题2"/>
    <w:basedOn w:val="757"/>
    <w:next w:val="757"/>
    <w:uiPriority w:val="0"/>
    <w:qFormat/>
    <w:pPr>
      <w:jc w:val="center"/>
    </w:pPr>
    <w:rPr>
      <w:rFonts w:eastAsia="方正楷体_GBK"/>
    </w:rPr>
  </w:style>
  <w:style w:type="paragraph" w:styleId="1097" w:customStyle="1">
    <w:name w:val="列出段落2"/>
    <w:basedOn w:val="757"/>
    <w:uiPriority w:val="0"/>
    <w:qFormat/>
    <w:pPr>
      <w:ind w:firstLine="420"/>
    </w:pPr>
  </w:style>
  <w:style w:type="paragraph" w:styleId="1098" w:customStyle="1">
    <w:name w:val="表格正文"/>
    <w:basedOn w:val="757"/>
    <w:uiPriority w:val="0"/>
    <w:qFormat/>
    <w:rPr>
      <w:rFonts w:ascii="宋体" w:hAnsi="宋体"/>
      <w:szCs w:val="21"/>
    </w:rPr>
  </w:style>
  <w:style w:type="paragraph" w:styleId="1099" w:customStyle="1">
    <w:name w:val="Coms Alinea"/>
    <w:uiPriority w:val="0"/>
    <w:qFormat/>
    <w:pPr>
      <w:widowControl w:val="off"/>
    </w:pPr>
    <w:rPr>
      <w:rFonts w:ascii="Arial" w:hAnsi="Arial" w:eastAsia="宋体" w:cs="Arial"/>
      <w:lang w:val="en-US" w:eastAsia="zh-CN" w:bidi="ar-SA"/>
    </w:rPr>
  </w:style>
  <w:style w:type="paragraph" w:styleId="1100" w:customStyle="1">
    <w:name w:val="Char"/>
    <w:basedOn w:val="757"/>
    <w:uiPriority w:val="0"/>
    <w:qFormat/>
    <w:pPr>
      <w:tabs>
        <w:tab w:val="left" w:pos="360" w:leader="none"/>
      </w:tabs>
    </w:pPr>
    <w:rPr>
      <w:sz w:val="24"/>
    </w:rPr>
  </w:style>
  <w:style w:type="paragraph" w:styleId="1101" w:customStyle="1">
    <w:name w:val="标题3"/>
    <w:basedOn w:val="757"/>
    <w:next w:val="757"/>
    <w:uiPriority w:val="0"/>
    <w:qFormat/>
    <w:rPr>
      <w:rFonts w:eastAsia="方正黑体_GBK"/>
    </w:rPr>
  </w:style>
  <w:style w:type="paragraph" w:styleId="1102" w:customStyle="1">
    <w:name w:val="修订1"/>
    <w:uiPriority w:val="99"/>
    <w:qFormat/>
    <w:rPr>
      <w:rFonts w:ascii="Times New Roman" w:hAnsi="Times New Roman" w:eastAsia="宋体" w:cs="Times New Roman"/>
      <w:sz w:val="21"/>
      <w:szCs w:val="24"/>
      <w:lang w:val="en-US" w:eastAsia="zh-CN" w:bidi="ar-SA"/>
    </w:rPr>
  </w:style>
  <w:style w:type="paragraph" w:styleId="1103" w:customStyle="1">
    <w:name w:val="BioQuote Tekst"/>
    <w:basedOn w:val="757"/>
    <w:uiPriority w:val="0"/>
    <w:qFormat/>
    <w:pPr>
      <w:ind w:right="-1"/>
    </w:pPr>
    <w:rPr>
      <w:rFonts w:ascii="Arial" w:hAnsi="Arial"/>
      <w:sz w:val="22"/>
      <w:szCs w:val="20"/>
      <w:lang w:eastAsia="en-US"/>
    </w:rPr>
  </w:style>
  <w:style w:type="paragraph" w:styleId="1104" w:customStyle="1">
    <w:name w:val="HTML 预先格式化"/>
    <w:basedOn w:val="75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05" w:customStyle="1">
    <w:name w:val="Heading11"/>
    <w:basedOn w:val="757"/>
    <w:next w:val="757"/>
    <w:uiPriority w:val="0"/>
    <w:qFormat/>
    <w:pPr>
      <w:keepNext/>
    </w:pPr>
    <w:rPr>
      <w:rFonts w:ascii="等线 Light" w:eastAsia="等线 Light"/>
      <w:sz w:val="28"/>
      <w:szCs w:val="20"/>
    </w:rPr>
  </w:style>
  <w:style w:type="paragraph" w:styleId="1106" w:customStyle="1">
    <w:name w:val="正文 第一章"/>
    <w:basedOn w:val="757"/>
    <w:next w:val="1107"/>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07" w:customStyle="1">
    <w:name w:val="正文 1.1"/>
    <w:basedOn w:val="757"/>
    <w:next w:val="1108"/>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08" w:customStyle="1">
    <w:name w:val="正文 1.1.1"/>
    <w:basedOn w:val="757"/>
    <w:next w:val="757"/>
    <w:uiPriority w:val="0"/>
    <w:qFormat/>
    <w:pPr>
      <w:numPr>
        <w:ilvl w:val="2"/>
        <w:numId w:val="1"/>
      </w:numPr>
      <w:spacing w:line="360" w:lineRule="auto"/>
      <w:outlineLvl w:val="2"/>
    </w:pPr>
    <w:rPr>
      <w:rFonts w:ascii="宋体" w:hAnsi="宋体"/>
      <w:color w:val="000000"/>
      <w:sz w:val="28"/>
      <w:szCs w:val="21"/>
    </w:rPr>
  </w:style>
  <w:style w:type="paragraph" w:styleId="1109" w:customStyle="1">
    <w:name w:val="Char Char Char Char1 Char Char Char"/>
    <w:basedOn w:val="773"/>
    <w:uiPriority w:val="0"/>
    <w:qFormat/>
    <w:pPr>
      <w:spacing w:line="360" w:lineRule="auto"/>
    </w:pPr>
    <w:rPr>
      <w:rFonts w:ascii="Tahoma" w:hAnsi="Tahoma"/>
      <w:sz w:val="24"/>
    </w:rPr>
  </w:style>
  <w:style w:type="paragraph" w:styleId="1110" w:customStyle="1">
    <w:name w:val="p0"/>
    <w:basedOn w:val="757"/>
    <w:uiPriority w:val="0"/>
    <w:qFormat/>
    <w:pPr>
      <w:jc w:val="left"/>
      <w:spacing w:before="100" w:beforeAutospacing="1" w:after="100" w:afterAutospacing="1"/>
      <w:widowControl/>
    </w:pPr>
    <w:rPr>
      <w:rFonts w:ascii="宋体" w:hAnsi="宋体" w:cs="宋体"/>
    </w:rPr>
  </w:style>
  <w:style w:type="paragraph" w:styleId="1111" w:customStyle="1">
    <w:name w:val="正文空2格  1."/>
    <w:basedOn w:val="757"/>
    <w:uiPriority w:val="0"/>
    <w:qFormat/>
    <w:pPr>
      <w:ind w:firstLine="480"/>
      <w:spacing w:line="360" w:lineRule="auto"/>
    </w:pPr>
    <w:rPr>
      <w:rFonts w:ascii="宋体" w:eastAsia="仿宋" w:cs="宋体"/>
      <w:sz w:val="28"/>
      <w:szCs w:val="20"/>
    </w:rPr>
  </w:style>
  <w:style w:type="paragraph" w:styleId="1112" w:customStyle="1">
    <w:name w:val="Char Char Char Char1 Char Char"/>
    <w:basedOn w:val="757"/>
    <w:uiPriority w:val="0"/>
    <w:qFormat/>
    <w:pPr>
      <w:tabs>
        <w:tab w:val="left" w:pos="360" w:leader="none"/>
      </w:tabs>
    </w:pPr>
    <w:rPr>
      <w:sz w:val="24"/>
    </w:rPr>
  </w:style>
  <w:style w:type="paragraph" w:styleId="1113" w:customStyle="1">
    <w:name w:val="默认段落字体 Para Char Char Char Char Char Char Char Char Char1 Char Char Char Char Char Char Char"/>
    <w:basedOn w:val="773"/>
    <w:uiPriority w:val="0"/>
    <w:qFormat/>
    <w:rPr>
      <w:rFonts w:ascii="Tahoma" w:hAnsi="Tahoma"/>
      <w:sz w:val="24"/>
    </w:rPr>
  </w:style>
  <w:style w:type="paragraph" w:styleId="1114" w:customStyle="1">
    <w:name w:val="列出段落3"/>
    <w:basedOn w:val="757"/>
    <w:uiPriority w:val="0"/>
    <w:qFormat/>
    <w:pPr>
      <w:ind w:firstLine="420"/>
    </w:pPr>
    <w:rPr>
      <w:rFonts w:ascii="Calibri" w:hAnsi="Calibri"/>
      <w:szCs w:val="22"/>
    </w:rPr>
  </w:style>
  <w:style w:type="paragraph" w:styleId="1115" w:customStyle="1">
    <w:name w:val="Char Char Char1 Char Char Char Char Char Char Char"/>
    <w:basedOn w:val="757"/>
    <w:uiPriority w:val="0"/>
    <w:qFormat/>
  </w:style>
  <w:style w:type="paragraph" w:styleId="1116" w:customStyle="1">
    <w:name w:val="正文 A"/>
    <w:next w:val="821"/>
    <w:uiPriority w:val="0"/>
    <w:qFormat/>
    <w:pPr>
      <w:jc w:val="both"/>
      <w:widowControl w:val="off"/>
    </w:pPr>
    <w:rPr>
      <w:rFonts w:ascii="Calibri" w:hAnsi="Calibri" w:eastAsia="Times New Roman" w:cs="Calibri"/>
      <w:color w:val="000000"/>
      <w:sz w:val="21"/>
      <w:szCs w:val="21"/>
      <w:lang w:val="en-US" w:eastAsia="zh-CN" w:bidi="ar-SA"/>
    </w:rPr>
  </w:style>
  <w:style w:type="paragraph" w:styleId="1117" w:customStyle="1">
    <w:name w:val="标题1"/>
    <w:basedOn w:val="757"/>
    <w:next w:val="757"/>
    <w:uiPriority w:val="0"/>
    <w:qFormat/>
    <w:pPr>
      <w:jc w:val="center"/>
      <w:spacing w:line="700" w:lineRule="atLeast"/>
      <w:tabs>
        <w:tab w:val="left" w:pos="9193" w:leader="none"/>
        <w:tab w:val="left" w:pos="9827" w:leader="none"/>
      </w:tabs>
    </w:pPr>
    <w:rPr>
      <w:rFonts w:eastAsia="方正小标宋_GBK"/>
      <w:sz w:val="44"/>
    </w:rPr>
  </w:style>
  <w:style w:type="paragraph" w:styleId="1118" w:customStyle="1">
    <w:name w:val="Char1"/>
    <w:basedOn w:val="757"/>
    <w:uiPriority w:val="0"/>
    <w:qFormat/>
    <w:rPr>
      <w:rFonts w:ascii="Tahoma" w:hAnsi="Tahoma"/>
      <w:sz w:val="24"/>
      <w:szCs w:val="20"/>
    </w:rPr>
  </w:style>
  <w:style w:type="paragraph" w:styleId="111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20" w:customStyle="1">
    <w:name w:val="xl47"/>
    <w:basedOn w:val="757"/>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21" w:customStyle="1">
    <w:name w:val="第四级"/>
    <w:basedOn w:val="757"/>
    <w:next w:val="757"/>
    <w:uiPriority w:val="0"/>
    <w:qFormat/>
    <w:pPr>
      <w:numPr>
        <w:ilvl w:val="3"/>
        <w:numId w:val="1"/>
      </w:numPr>
      <w:spacing w:line="360" w:lineRule="auto"/>
    </w:pPr>
    <w:rPr>
      <w:rFonts w:ascii="宋体" w:hAnsi="宋体" w:eastAsia="仿宋"/>
      <w:sz w:val="28"/>
      <w:szCs w:val="21"/>
    </w:rPr>
  </w:style>
  <w:style w:type="paragraph" w:styleId="1122" w:customStyle="1">
    <w:name w:val="List Paragraph_cd713b58-acec-47d7-ab26-d9025d2fdb56"/>
    <w:basedOn w:val="757"/>
    <w:uiPriority w:val="0"/>
    <w:qFormat/>
    <w:pPr>
      <w:ind w:firstLine="420"/>
    </w:pPr>
    <w:rPr>
      <w:rFonts w:ascii="Calibri" w:hAnsi="Calibri"/>
      <w:szCs w:val="22"/>
    </w:rPr>
  </w:style>
  <w:style w:type="paragraph" w:styleId="1123"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124" w:customStyle="1">
    <w:name w:val="_Style 120"/>
    <w:basedOn w:val="758"/>
    <w:next w:val="757"/>
    <w:uiPriority w:val="0"/>
    <w:qFormat/>
    <w:pPr>
      <w:keepLines/>
      <w:spacing w:before="340" w:after="330" w:line="578" w:lineRule="auto"/>
      <w:outlineLvl w:val="9"/>
    </w:pPr>
    <w:rPr>
      <w:rFonts w:ascii="Times New Roman" w:eastAsia="宋体"/>
      <w:b/>
      <w:bCs/>
      <w:sz w:val="44"/>
      <w:szCs w:val="44"/>
    </w:rPr>
  </w:style>
  <w:style w:type="paragraph" w:styleId="1125" w:customStyle="1">
    <w:name w:val="Heading 41"/>
    <w:basedOn w:val="757"/>
    <w:uiPriority w:val="0"/>
    <w:qFormat/>
    <w:pPr>
      <w:jc w:val="left"/>
      <w:outlineLvl w:val="4"/>
    </w:pPr>
    <w:rPr>
      <w:rFonts w:ascii="宋体" w:hAnsi="宋体" w:cs="宋体"/>
      <w:sz w:val="32"/>
      <w:szCs w:val="32"/>
      <w:lang w:eastAsia="en-US"/>
    </w:rPr>
  </w:style>
  <w:style w:type="paragraph" w:styleId="1126" w:customStyle="1">
    <w:name w:val="Table Paragraph"/>
    <w:basedOn w:val="757"/>
    <w:uiPriority w:val="0"/>
    <w:qFormat/>
    <w:pPr>
      <w:jc w:val="left"/>
    </w:pPr>
    <w:rPr>
      <w:rFonts w:ascii="Calibri" w:hAnsi="Calibri" w:cs="Calibri"/>
      <w:sz w:val="22"/>
      <w:szCs w:val="22"/>
      <w:lang w:eastAsia="en-US"/>
    </w:rPr>
  </w:style>
  <w:style w:type="paragraph" w:styleId="1127" w:customStyle="1">
    <w:name w:val="Blockquote"/>
    <w:basedOn w:val="757"/>
    <w:uiPriority w:val="0"/>
    <w:qFormat/>
    <w:pPr>
      <w:ind w:left="360" w:right="360"/>
      <w:jc w:val="left"/>
      <w:spacing w:before="100" w:after="100"/>
    </w:pPr>
    <w:rPr>
      <w:sz w:val="24"/>
      <w:szCs w:val="20"/>
    </w:rPr>
  </w:style>
  <w:style w:type="paragraph" w:styleId="1128" w:customStyle="1">
    <w:name w:val="样式 标题 3 + (中文) 黑体 小四 非加粗 段前: 7.8 磅 段后: 0 磅 行距: 固定值 20 磅"/>
    <w:basedOn w:val="760"/>
    <w:uiPriority w:val="0"/>
    <w:qFormat/>
    <w:pPr>
      <w:spacing w:before="0" w:after="0" w:line="400" w:lineRule="exact"/>
    </w:pPr>
    <w:rPr>
      <w:rFonts w:eastAsia="黑体" w:cs="宋体"/>
      <w:b w:val="0"/>
      <w:sz w:val="24"/>
    </w:rPr>
  </w:style>
  <w:style w:type="paragraph" w:styleId="1129" w:customStyle="1">
    <w:name w:val="空半行"/>
    <w:basedOn w:val="757"/>
    <w:uiPriority w:val="0"/>
    <w:qFormat/>
    <w:pPr>
      <w:spacing w:line="120" w:lineRule="exact"/>
    </w:pPr>
    <w:rPr>
      <w:rFonts w:eastAsia="仿宋_GB2312"/>
      <w:color w:val="ffffff"/>
      <w:sz w:val="30"/>
      <w:szCs w:val="20"/>
    </w:rPr>
  </w:style>
  <w:style w:type="paragraph" w:styleId="1130" w:customStyle="1">
    <w:name w:val="flNote"/>
    <w:basedOn w:val="757"/>
    <w:uiPriority w:val="0"/>
    <w:qFormat/>
    <w:pPr>
      <w:jc w:val="center"/>
      <w:spacing w:before="320" w:after="160" w:line="360" w:lineRule="atLeast"/>
    </w:pPr>
    <w:rPr>
      <w:rFonts w:ascii="Arial" w:eastAsia="黑体"/>
      <w:sz w:val="30"/>
      <w:szCs w:val="20"/>
    </w:rPr>
  </w:style>
  <w:style w:type="paragraph" w:styleId="1131" w:customStyle="1">
    <w:name w:val="Char Char Char1 Char Char Char Char Char Char Char1"/>
    <w:basedOn w:val="757"/>
    <w:uiPriority w:val="0"/>
    <w:qFormat/>
    <w:rPr>
      <w:rFonts w:ascii="Tahoma" w:hAnsi="Tahoma"/>
      <w:sz w:val="24"/>
      <w:szCs w:val="20"/>
    </w:rPr>
  </w:style>
  <w:style w:type="paragraph" w:styleId="1132" w:customStyle="1">
    <w:name w:val="正文_1"/>
    <w:next w:val="1133"/>
    <w:uiPriority w:val="0"/>
    <w:qFormat/>
    <w:pPr>
      <w:jc w:val="both"/>
      <w:widowControl w:val="off"/>
    </w:pPr>
    <w:rPr>
      <w:rFonts w:ascii="Calibri" w:hAnsi="Calibri" w:eastAsia="宋体" w:cs="Times New Roman"/>
      <w:sz w:val="21"/>
      <w:szCs w:val="22"/>
      <w:lang w:val="en-US" w:eastAsia="zh-CN" w:bidi="ar-SA"/>
    </w:rPr>
  </w:style>
  <w:style w:type="paragraph" w:styleId="1133" w:customStyle="1">
    <w:name w:val="正文首行缩进 21"/>
    <w:basedOn w:val="1134"/>
    <w:uiPriority w:val="99"/>
    <w:qFormat/>
    <w:pPr>
      <w:ind w:firstLine="420"/>
    </w:pPr>
  </w:style>
  <w:style w:type="paragraph" w:styleId="1134" w:customStyle="1">
    <w:name w:val="正文文本缩进_0"/>
    <w:basedOn w:val="1132"/>
    <w:uiPriority w:val="0"/>
    <w:qFormat/>
    <w:pPr>
      <w:ind w:firstLine="435"/>
      <w:spacing w:line="360" w:lineRule="auto"/>
    </w:pPr>
    <w:rPr>
      <w:sz w:val="24"/>
    </w:rPr>
  </w:style>
  <w:style w:type="paragraph" w:styleId="1135" w:customStyle="1">
    <w:name w:val="Normal_0"/>
    <w:uiPriority w:val="0"/>
    <w:qFormat/>
    <w:pPr>
      <w:widowControl w:val="off"/>
    </w:pPr>
    <w:rPr>
      <w:rFonts w:ascii="Calibri" w:hAnsi="Calibri" w:eastAsia="宋体" w:cs="Times New Roman"/>
      <w:sz w:val="21"/>
      <w:szCs w:val="22"/>
      <w:lang w:val="en-US" w:eastAsia="zh-CN" w:bidi="ar-SA"/>
    </w:rPr>
  </w:style>
  <w:style w:type="paragraph" w:styleId="1136" w:customStyle="1">
    <w:name w:val="_Style 130"/>
    <w:uiPriority w:val="0"/>
    <w:qFormat/>
    <w:pPr>
      <w:jc w:val="both"/>
      <w:widowControl w:val="off"/>
    </w:pPr>
    <w:rPr>
      <w:rFonts w:ascii="Times New Roman" w:hAnsi="Times New Roman" w:eastAsia="宋体" w:cs="Times New Roman"/>
      <w:sz w:val="21"/>
      <w:szCs w:val="24"/>
      <w:lang w:val="en-US" w:eastAsia="zh-CN" w:bidi="ar-SA"/>
    </w:rPr>
  </w:style>
  <w:style w:type="paragraph" w:styleId="1137" w:customStyle="1">
    <w:name w:val="Normal1"/>
    <w:uiPriority w:val="0"/>
    <w:qFormat/>
    <w:pPr>
      <w:jc w:val="both"/>
      <w:widowControl w:val="off"/>
    </w:pPr>
    <w:rPr>
      <w:rFonts w:ascii="Times New Roman" w:hAnsi="Times New Roman" w:eastAsia="Times New Roman" w:cs="Times New Roman"/>
      <w:lang w:val="en-US" w:eastAsia="zh-CN" w:bidi="ar-SA"/>
    </w:rPr>
  </w:style>
  <w:style w:type="paragraph" w:styleId="1138" w:customStyle="1">
    <w:name w:val="样式 标题 2 + 黑色 行距: 1.5 倍行距"/>
    <w:basedOn w:val="759"/>
    <w:uiPriority w:val="0"/>
    <w:qFormat/>
    <w:pPr>
      <w:jc w:val="both"/>
      <w:spacing w:line="360" w:lineRule="auto"/>
    </w:pPr>
    <w:rPr>
      <w:rFonts w:eastAsia="宋体" w:cs="宋体"/>
      <w:bCs/>
      <w:color w:val="000000"/>
      <w:sz w:val="32"/>
      <w:szCs w:val="32"/>
    </w:rPr>
  </w:style>
  <w:style w:type="paragraph" w:styleId="1139"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14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41" w:customStyle="1">
    <w:name w:val="纯文本1_0"/>
    <w:basedOn w:val="757"/>
    <w:uiPriority w:val="0"/>
    <w:qFormat/>
    <w:rPr>
      <w:rFonts w:ascii="宋体" w:hAnsi="Courier New"/>
      <w:sz w:val="28"/>
    </w:rPr>
  </w:style>
  <w:style w:type="paragraph" w:styleId="1142"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143" w:customStyle="1">
    <w:name w:val="纯文本1_0_0"/>
    <w:basedOn w:val="757"/>
    <w:uiPriority w:val="0"/>
    <w:qFormat/>
    <w:rPr>
      <w:rFonts w:ascii="宋体" w:hAnsi="Courier New"/>
      <w:sz w:val="28"/>
    </w:rPr>
  </w:style>
  <w:style w:type="paragraph" w:styleId="1144" w:customStyle="1">
    <w:name w:val="正文_13_1"/>
    <w:uiPriority w:val="0"/>
    <w:qFormat/>
    <w:pPr>
      <w:jc w:val="both"/>
      <w:widowControl w:val="off"/>
    </w:pPr>
    <w:rPr>
      <w:rFonts w:ascii="Times New Roman" w:hAnsi="Times New Roman" w:eastAsia="宋体" w:cs="Times New Roman"/>
      <w:sz w:val="21"/>
      <w:szCs w:val="24"/>
      <w:lang w:val="en-US" w:eastAsia="zh-CN" w:bidi="ar-SA"/>
    </w:rPr>
  </w:style>
  <w:style w:type="paragraph" w:styleId="1145" w:customStyle="1">
    <w:name w:val="Normal_12"/>
    <w:uiPriority w:val="0"/>
    <w:qFormat/>
    <w:rPr>
      <w:rFonts w:ascii="黑体" w:hAnsi="黑体" w:eastAsia="黑体" w:cs="Times New Roman"/>
      <w:b/>
      <w:sz w:val="32"/>
      <w:szCs w:val="24"/>
      <w:lang w:val="en-US" w:eastAsia="zh-CN" w:bidi="ar-SA"/>
    </w:rPr>
  </w:style>
  <w:style w:type="character" w:styleId="1146" w:customStyle="1">
    <w:name w:val="NormalCharacter1"/>
    <w:uiPriority w:val="0"/>
    <w:qFormat/>
  </w:style>
  <w:style w:type="paragraph" w:styleId="1147" w:customStyle="1">
    <w:name w:val="标题 31"/>
    <w:basedOn w:val="757"/>
    <w:next w:val="769"/>
    <w:link w:val="1148"/>
    <w:uiPriority w:val="0"/>
    <w:qFormat/>
    <w:pPr>
      <w:keepLines/>
      <w:keepNext/>
      <w:spacing w:before="260" w:after="260" w:line="416" w:lineRule="auto"/>
      <w:outlineLvl w:val="2"/>
    </w:pPr>
    <w:rPr>
      <w:b/>
      <w:bCs/>
      <w:sz w:val="32"/>
      <w:szCs w:val="32"/>
    </w:rPr>
  </w:style>
  <w:style w:type="character" w:styleId="1148" w:customStyle="1">
    <w:name w:val="标题 3 字符1"/>
    <w:link w:val="1147"/>
    <w:uiPriority w:val="0"/>
    <w:qFormat/>
    <w:rPr>
      <w:rFonts w:ascii="Times New Roman" w:hAnsi="Times New Roman" w:eastAsia="宋体" w:cs="Times New Roman"/>
      <w:b/>
      <w:bCs/>
      <w:sz w:val="32"/>
      <w:szCs w:val="32"/>
    </w:rPr>
  </w:style>
  <w:style w:type="character" w:styleId="1149" w:customStyle="1">
    <w:name w:val="样式1 Char"/>
    <w:basedOn w:val="767"/>
    <w:uiPriority w:val="0"/>
    <w:qFormat/>
    <w:rPr>
      <w:b/>
      <w:bCs/>
    </w:rPr>
  </w:style>
  <w:style w:type="character" w:styleId="1150" w:customStyle="1">
    <w:name w:val="正文缩进 Char1"/>
    <w:uiPriority w:val="0"/>
    <w:qFormat/>
    <w:rPr>
      <w:rFonts w:eastAsia="宋体"/>
      <w:sz w:val="21"/>
      <w:lang w:val="en-US" w:eastAsia="zh-CN" w:bidi="ar-SA"/>
    </w:rPr>
  </w:style>
  <w:style w:type="paragraph" w:styleId="1151" w:customStyle="1">
    <w:name w:val="首行缩进"/>
    <w:basedOn w:val="757"/>
    <w:uiPriority w:val="0"/>
    <w:qFormat/>
    <w:pPr>
      <w:ind w:firstLine="480"/>
      <w:spacing w:line="360" w:lineRule="auto"/>
    </w:pPr>
    <w:rPr>
      <w:rFonts w:ascii="宋体" w:hAnsi="宋体" w:cs="宋体"/>
      <w:sz w:val="24"/>
    </w:rPr>
  </w:style>
  <w:style w:type="character" w:styleId="1152" w:customStyle="1">
    <w:name w:val="正文文本 Char2"/>
    <w:uiPriority w:val="0"/>
    <w:qFormat/>
    <w:rPr>
      <w:rFonts w:ascii="楷体_GB2312" w:hAnsi="Arial" w:eastAsia="楷体_GB2312"/>
      <w:sz w:val="28"/>
    </w:rPr>
  </w:style>
  <w:style w:type="paragraph" w:styleId="1153" w:customStyle="1">
    <w:name w:val="正文缩进1"/>
    <w:basedOn w:val="757"/>
    <w:uiPriority w:val="0"/>
    <w:qFormat/>
    <w:pPr>
      <w:ind w:firstLine="420"/>
    </w:pPr>
    <w:rPr>
      <w:szCs w:val="20"/>
    </w:rPr>
  </w:style>
  <w:style w:type="character" w:styleId="1154" w:customStyle="1">
    <w:name w:val="cf01"/>
    <w:basedOn w:val="767"/>
    <w:uiPriority w:val="0"/>
    <w:qFormat/>
    <w:rPr>
      <w:rFonts w:hint="eastAsia" w:ascii="Microsoft YaHei UI" w:hAnsi="Microsoft YaHei UI" w:eastAsia="Microsoft YaHei UI"/>
      <w:sz w:val="18"/>
      <w:szCs w:val="18"/>
    </w:rPr>
  </w:style>
  <w:style w:type="character" w:styleId="1155" w:customStyle="1">
    <w:name w:val="未处理的提及1"/>
    <w:basedOn w:val="767"/>
    <w:uiPriority w:val="99"/>
    <w:qFormat/>
    <w:rPr>
      <w:color w:val="605e5c"/>
      <w:shd w:val="clear" w:color="auto" w:fill="e1dfdd"/>
    </w:rPr>
  </w:style>
  <w:style w:type="character" w:styleId="1156" w:customStyle="1">
    <w:name w:val="正文首行缩进 Char"/>
    <w:basedOn w:val="880"/>
    <w:link w:val="807"/>
    <w:uiPriority w:val="99"/>
    <w:qFormat/>
    <w:rPr>
      <w:rFonts w:ascii="楷体_GB2312" w:hAnsi="Arial" w:eastAsia="楷体_GB2312" w:cs="Times New Roman"/>
      <w:sz w:val="21"/>
      <w:szCs w:val="24"/>
    </w:rPr>
  </w:style>
  <w:style w:type="paragraph" w:styleId="1157" w:customStyle="1">
    <w:name w:val="修订2"/>
    <w:uiPriority w:val="99"/>
    <w:qFormat/>
    <w:rPr>
      <w:rFonts w:ascii="Times New Roman" w:hAnsi="Times New Roman" w:eastAsia="宋体" w:cs="Times New Roman"/>
      <w:sz w:val="21"/>
      <w:szCs w:val="24"/>
      <w:lang w:val="en-US" w:eastAsia="zh-CN" w:bidi="ar-SA"/>
    </w:rPr>
  </w:style>
  <w:style w:type="paragraph" w:styleId="1158" w:customStyle="1">
    <w:name w:val="页脚1"/>
    <w:uiPriority w:val="99"/>
    <w:qFormat/>
    <w:pPr>
      <w:widowControl w:val="off"/>
      <w:tabs>
        <w:tab w:val="center" w:pos="4153" w:leader="none"/>
        <w:tab w:val="right" w:pos="8306" w:leader="none"/>
      </w:tabs>
    </w:pPr>
    <w:rPr>
      <w:rFonts w:ascii="Calibri" w:hAnsi="Calibri" w:eastAsia="宋体" w:cs="Times New Roman"/>
      <w:sz w:val="18"/>
      <w:lang w:val="en-US" w:eastAsia="zh-CN" w:bidi="ar-SA"/>
    </w:rPr>
  </w:style>
  <w:style w:type="paragraph" w:styleId="1159" w:customStyle="1">
    <w:name w:val="正文1"/>
    <w:basedOn w:val="781"/>
    <w:next w:val="757"/>
    <w:uiPriority w:val="0"/>
    <w:qFormat/>
    <w:pPr>
      <w:tabs>
        <w:tab w:val="right" w:pos="8268" w:leader="dot"/>
      </w:tabs>
    </w:pPr>
    <w:rPr>
      <w:szCs w:val="21"/>
    </w:rPr>
  </w:style>
  <w:style w:type="paragraph" w:styleId="1160" w:customStyle="1">
    <w:name w:val="普通(网站)1"/>
    <w:basedOn w:val="757"/>
    <w:uiPriority w:val="0"/>
    <w:qFormat/>
    <w:pPr>
      <w:jc w:val="left"/>
      <w:spacing w:beforeAutospacing="1" w:afterAutospacing="1"/>
    </w:pPr>
    <w:rPr>
      <w:sz w:val="24"/>
    </w:rPr>
  </w:style>
  <w:style w:type="paragraph" w:styleId="1161" w:customStyle="1">
    <w:name w:val="普通(网站)11"/>
    <w:basedOn w:val="757"/>
    <w:uiPriority w:val="0"/>
    <w:qFormat/>
    <w:pPr>
      <w:jc w:val="left"/>
      <w:spacing w:beforeAutospacing="1" w:afterAutospacing="1"/>
    </w:pPr>
    <w:rPr>
      <w:rFonts w:cs="Times New Roman"/>
      <w:sz w:val="24"/>
    </w:rPr>
  </w:style>
  <w:style w:type="numbering" w:styleId="1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1026"/>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钊 周</dc:creator>
  <cp:lastModifiedBy>杨工</cp:lastModifiedBy>
  <cp:revision>6</cp:revision>
  <dcterms:created xsi:type="dcterms:W3CDTF">2025-12-26T03:45:00Z</dcterms:created>
  <dcterms:modified xsi:type="dcterms:W3CDTF">2025-12-26T10:09:39Z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E36ADD939EC746F29B370685146138C6_13</vt:lpwstr>
  </property>
  <property fmtid="{D5CDD505-2E9C-101B-9397-08002B2CF9AE}" pid="4" name="KSOTemplateDocerSaveRecord">
    <vt:lpwstr>eyJoZGlkIjoiN2NjOTY5YjRkZTRkMzY2MTIxNmU4M2EyZjFjYzkzNjUiLCJ1c2VySWQiOiIzODcyODIzODEifQ==</vt:lpwstr>
  </property>
</Properties>
</file>